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7F0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rPr>
        <w:t>一季度崇阳县市场主体发展</w:t>
      </w:r>
    </w:p>
    <w:p w14:paraId="552DEDEE">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分析报告</w:t>
      </w:r>
    </w:p>
    <w:p w14:paraId="3321BD0D">
      <w:pPr>
        <w:jc w:val="center"/>
        <w:rPr>
          <w:rFonts w:hint="eastAsia" w:ascii="黑体" w:hAnsi="黑体" w:eastAsia="黑体" w:cs="黑体"/>
          <w:sz w:val="15"/>
          <w:szCs w:val="15"/>
        </w:rPr>
      </w:pPr>
    </w:p>
    <w:p w14:paraId="10378D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b/>
          <w:color w:val="000000"/>
          <w:kern w:val="0"/>
          <w:sz w:val="32"/>
          <w:szCs w:val="32"/>
          <w:shd w:val="clear" w:color="auto" w:fill="FFFFFF"/>
          <w:lang w:eastAsia="zh-CN"/>
        </w:rPr>
      </w:pPr>
      <w:r>
        <w:rPr>
          <w:rFonts w:hint="eastAsia" w:ascii="黑体" w:hAnsi="黑体" w:eastAsia="黑体"/>
          <w:sz w:val="32"/>
          <w:szCs w:val="32"/>
        </w:rPr>
        <w:t>一、</w:t>
      </w:r>
      <w:r>
        <w:rPr>
          <w:rFonts w:hint="eastAsia" w:ascii="黑体" w:hAnsi="黑体" w:eastAsia="黑体"/>
          <w:sz w:val="32"/>
          <w:szCs w:val="32"/>
          <w:lang w:eastAsia="zh-CN"/>
        </w:rPr>
        <w:t>市场主体发展基本情况</w:t>
      </w:r>
    </w:p>
    <w:p w14:paraId="51A21337">
      <w:pPr>
        <w:spacing w:line="560" w:lineRule="exact"/>
        <w:ind w:firstLine="643" w:firstLineChars="200"/>
        <w:jc w:val="left"/>
        <w:rPr>
          <w:rFonts w:hint="eastAsia" w:ascii="楷体_GB2312" w:hAnsi="黑体" w:eastAsia="楷体_GB2312" w:cs="Times New Roman"/>
          <w:b/>
          <w:bCs/>
          <w:sz w:val="32"/>
          <w:szCs w:val="32"/>
          <w:lang w:eastAsia="zh-CN"/>
        </w:rPr>
      </w:pPr>
      <w:r>
        <w:rPr>
          <w:rFonts w:hint="eastAsia" w:ascii="楷体_GB2312" w:hAnsi="黑体" w:eastAsia="楷体_GB2312" w:cs="Times New Roman"/>
          <w:b/>
          <w:bCs/>
          <w:sz w:val="32"/>
          <w:szCs w:val="32"/>
          <w:lang w:eastAsia="zh-CN"/>
        </w:rPr>
        <w:t>（一）市场主体发展总体情况</w:t>
      </w:r>
    </w:p>
    <w:p w14:paraId="64ADF3CD">
      <w:pPr>
        <w:keepNext w:val="0"/>
        <w:keepLines w:val="0"/>
        <w:pageBreakBefore w:val="0"/>
        <w:kinsoku/>
        <w:wordWrap/>
        <w:overflowPunct/>
        <w:topLinePunct w:val="0"/>
        <w:autoSpaceDE/>
        <w:autoSpaceDN/>
        <w:bidi w:val="0"/>
        <w:adjustRightInd/>
        <w:snapToGrid/>
        <w:spacing w:line="560" w:lineRule="exact"/>
        <w:ind w:firstLine="624" w:firstLineChars="200"/>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截至</w:t>
      </w:r>
      <w:r>
        <w:rPr>
          <w:rFonts w:hint="eastAsia" w:ascii="仿宋" w:hAnsi="仿宋" w:eastAsia="仿宋" w:cs="仿宋"/>
          <w:color w:val="000000"/>
          <w:spacing w:val="-4"/>
          <w:sz w:val="32"/>
          <w:szCs w:val="32"/>
          <w:lang w:val="en-US" w:eastAsia="zh-CN"/>
        </w:rPr>
        <w:t>2022</w:t>
      </w:r>
      <w:r>
        <w:rPr>
          <w:rFonts w:hint="eastAsia" w:ascii="仿宋" w:hAnsi="仿宋" w:eastAsia="仿宋" w:cs="仿宋"/>
          <w:color w:val="000000"/>
          <w:spacing w:val="-4"/>
          <w:sz w:val="32"/>
          <w:szCs w:val="32"/>
          <w:lang w:eastAsia="zh-CN"/>
        </w:rPr>
        <w:t>年</w:t>
      </w:r>
      <w:r>
        <w:rPr>
          <w:rFonts w:hint="eastAsia" w:ascii="仿宋" w:hAnsi="仿宋" w:eastAsia="仿宋" w:cs="仿宋"/>
          <w:color w:val="000000"/>
          <w:spacing w:val="-4"/>
          <w:sz w:val="32"/>
          <w:szCs w:val="32"/>
          <w:lang w:val="en-US" w:eastAsia="zh-CN"/>
        </w:rPr>
        <w:t>第一季度末</w:t>
      </w:r>
      <w:r>
        <w:rPr>
          <w:rFonts w:hint="eastAsia" w:ascii="仿宋" w:hAnsi="仿宋" w:eastAsia="仿宋" w:cs="仿宋"/>
          <w:color w:val="000000"/>
          <w:spacing w:val="-4"/>
          <w:sz w:val="32"/>
          <w:szCs w:val="32"/>
        </w:rPr>
        <w:t>，全</w:t>
      </w:r>
      <w:r>
        <w:rPr>
          <w:rFonts w:hint="eastAsia" w:ascii="仿宋" w:hAnsi="仿宋" w:eastAsia="仿宋" w:cs="仿宋"/>
          <w:color w:val="000000"/>
          <w:spacing w:val="-4"/>
          <w:sz w:val="32"/>
          <w:szCs w:val="32"/>
          <w:lang w:eastAsia="zh-CN"/>
        </w:rPr>
        <w:t>县实有</w:t>
      </w:r>
      <w:r>
        <w:rPr>
          <w:rFonts w:hint="eastAsia" w:ascii="仿宋" w:hAnsi="仿宋" w:eastAsia="仿宋" w:cs="仿宋"/>
          <w:color w:val="000000"/>
          <w:spacing w:val="-4"/>
          <w:sz w:val="32"/>
          <w:szCs w:val="32"/>
        </w:rPr>
        <w:t>各类市场主体</w:t>
      </w:r>
      <w:r>
        <w:rPr>
          <w:rFonts w:hint="eastAsia" w:ascii="仿宋" w:hAnsi="仿宋" w:eastAsia="仿宋" w:cs="仿宋"/>
          <w:color w:val="000000"/>
          <w:spacing w:val="-4"/>
          <w:sz w:val="32"/>
          <w:szCs w:val="32"/>
          <w:lang w:val="en-US" w:eastAsia="zh-CN"/>
        </w:rPr>
        <w:t>51782</w:t>
      </w:r>
      <w:r>
        <w:rPr>
          <w:rFonts w:hint="eastAsia" w:ascii="仿宋" w:hAnsi="仿宋" w:eastAsia="仿宋" w:cs="仿宋"/>
          <w:color w:val="000000"/>
          <w:spacing w:val="-4"/>
          <w:sz w:val="32"/>
          <w:szCs w:val="32"/>
        </w:rPr>
        <w:t>户，注册资本（金）</w:t>
      </w:r>
      <w:r>
        <w:rPr>
          <w:rFonts w:hint="eastAsia" w:ascii="仿宋" w:hAnsi="仿宋" w:eastAsia="仿宋" w:cs="仿宋"/>
          <w:color w:val="000000"/>
          <w:spacing w:val="-4"/>
          <w:sz w:val="32"/>
          <w:szCs w:val="32"/>
          <w:lang w:val="en-US" w:eastAsia="zh-CN"/>
        </w:rPr>
        <w:t>440.12</w:t>
      </w:r>
      <w:r>
        <w:rPr>
          <w:rFonts w:hint="eastAsia" w:ascii="仿宋" w:hAnsi="仿宋" w:eastAsia="仿宋" w:cs="仿宋"/>
          <w:color w:val="000000"/>
          <w:spacing w:val="-4"/>
          <w:sz w:val="32"/>
          <w:szCs w:val="32"/>
        </w:rPr>
        <w:t>亿元，</w:t>
      </w:r>
      <w:r>
        <w:rPr>
          <w:rFonts w:hint="eastAsia" w:ascii="仿宋" w:hAnsi="仿宋" w:eastAsia="仿宋" w:cs="仿宋"/>
          <w:color w:val="000000"/>
          <w:spacing w:val="-4"/>
          <w:sz w:val="32"/>
          <w:szCs w:val="32"/>
          <w:lang w:eastAsia="zh-CN"/>
        </w:rPr>
        <w:t>同比增长</w:t>
      </w:r>
      <w:r>
        <w:rPr>
          <w:rFonts w:hint="eastAsia" w:ascii="仿宋" w:hAnsi="仿宋" w:eastAsia="仿宋" w:cs="仿宋"/>
          <w:color w:val="000000"/>
          <w:spacing w:val="-4"/>
          <w:sz w:val="32"/>
          <w:szCs w:val="32"/>
          <w:lang w:val="en-US" w:eastAsia="zh-CN"/>
        </w:rPr>
        <w:t>33.47</w:t>
      </w:r>
      <w:r>
        <w:rPr>
          <w:rFonts w:hint="eastAsia" w:ascii="仿宋" w:hAnsi="仿宋" w:eastAsia="仿宋" w:cs="仿宋"/>
          <w:color w:val="000000"/>
          <w:spacing w:val="-4"/>
          <w:sz w:val="32"/>
          <w:szCs w:val="32"/>
        </w:rPr>
        <w:t>%、</w:t>
      </w:r>
      <w:r>
        <w:rPr>
          <w:rFonts w:hint="eastAsia" w:ascii="仿宋" w:hAnsi="仿宋" w:eastAsia="仿宋" w:cs="仿宋"/>
          <w:color w:val="000000"/>
          <w:spacing w:val="-4"/>
          <w:sz w:val="32"/>
          <w:szCs w:val="32"/>
          <w:lang w:val="en-US" w:eastAsia="zh-CN"/>
        </w:rPr>
        <w:t>16.43</w:t>
      </w:r>
      <w:r>
        <w:rPr>
          <w:rFonts w:hint="eastAsia" w:ascii="仿宋" w:hAnsi="仿宋" w:eastAsia="仿宋" w:cs="仿宋"/>
          <w:color w:val="000000"/>
          <w:spacing w:val="-4"/>
          <w:sz w:val="32"/>
          <w:szCs w:val="32"/>
        </w:rPr>
        <w:t>%，</w:t>
      </w:r>
      <w:r>
        <w:rPr>
          <w:rFonts w:hint="eastAsia" w:ascii="仿宋" w:hAnsi="仿宋" w:eastAsia="仿宋" w:cs="仿宋"/>
          <w:color w:val="000000"/>
          <w:spacing w:val="-4"/>
          <w:sz w:val="32"/>
          <w:szCs w:val="32"/>
          <w:lang w:eastAsia="zh-CN"/>
        </w:rPr>
        <w:t>实有市场主体总数全市居</w:t>
      </w:r>
      <w:r>
        <w:rPr>
          <w:rFonts w:hint="eastAsia" w:ascii="仿宋" w:hAnsi="仿宋" w:eastAsia="仿宋" w:cs="仿宋"/>
          <w:color w:val="000000"/>
          <w:spacing w:val="-4"/>
          <w:sz w:val="32"/>
          <w:szCs w:val="32"/>
        </w:rPr>
        <w:t>第</w:t>
      </w:r>
      <w:r>
        <w:rPr>
          <w:rFonts w:hint="eastAsia" w:ascii="仿宋" w:hAnsi="仿宋" w:eastAsia="仿宋" w:cs="仿宋"/>
          <w:b/>
          <w:bCs/>
          <w:color w:val="000000"/>
          <w:spacing w:val="-4"/>
          <w:sz w:val="32"/>
          <w:szCs w:val="32"/>
          <w:lang w:val="en-US" w:eastAsia="zh-CN"/>
        </w:rPr>
        <w:t>3</w:t>
      </w:r>
      <w:r>
        <w:rPr>
          <w:rFonts w:hint="eastAsia" w:ascii="仿宋" w:hAnsi="仿宋" w:eastAsia="仿宋" w:cs="仿宋"/>
          <w:color w:val="000000"/>
          <w:spacing w:val="-4"/>
          <w:sz w:val="32"/>
          <w:szCs w:val="32"/>
        </w:rPr>
        <w:t>位。</w:t>
      </w:r>
    </w:p>
    <w:p w14:paraId="45660F93">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仿宋" w:hAnsi="仿宋" w:eastAsia="仿宋" w:cs="仿宋"/>
          <w:color w:val="000000"/>
          <w:spacing w:val="-4"/>
          <w:sz w:val="24"/>
          <w:szCs w:val="24"/>
          <w:lang w:val="en-US" w:eastAsia="zh-CN"/>
        </w:rPr>
      </w:pPr>
      <w:r>
        <w:rPr>
          <w:rFonts w:hint="eastAsia" w:ascii="仿宋" w:hAnsi="仿宋" w:eastAsia="仿宋" w:cs="仿宋"/>
          <w:color w:val="000000"/>
          <w:spacing w:val="-4"/>
          <w:sz w:val="24"/>
          <w:szCs w:val="24"/>
          <w:lang w:val="en-US" w:eastAsia="zh-CN"/>
        </w:rPr>
        <w:t>表一  2022年第一季度全县实有市场主体同比表</w:t>
      </w:r>
    </w:p>
    <w:p w14:paraId="5EC92C43">
      <w:pPr>
        <w:ind w:left="-199" w:leftChars="-95" w:right="-92" w:rightChars="-44" w:firstLine="0" w:firstLineChars="0"/>
        <w:rPr>
          <w:rFonts w:hint="eastAsia" w:eastAsiaTheme="minorEastAsia"/>
          <w:lang w:eastAsia="zh-CN"/>
        </w:rPr>
      </w:pPr>
      <w:r>
        <w:rPr>
          <w:rFonts w:hint="eastAsia" w:eastAsiaTheme="minorEastAsia"/>
          <w:lang w:eastAsia="zh-CN"/>
        </w:rPr>
        <w:object>
          <v:shape id="_x0000_i1025" o:spt="75" type="#_x0000_t75" style="height:158.6pt;width:491pt;" o:ole="t" filled="f" o:preferrelative="t" stroked="t" coordsize="21600,21600">
            <v:path/>
            <v:fill on="f" focussize="0,0"/>
            <v:stroke color="#FFFFFF" joinstyle="miter"/>
            <v:imagedata r:id="rId5" o:title=""/>
            <o:lock v:ext="edit" aspectratio="t"/>
            <w10:wrap type="none"/>
            <w10:anchorlock/>
          </v:shape>
          <o:OLEObject Type="Embed" ProgID="Excel.Sheet.8" ShapeID="_x0000_i1025" DrawAspect="Content" ObjectID="_1468075725" r:id="rId4">
            <o:LockedField>false</o:LockedField>
          </o:OLEObject>
        </w:object>
      </w:r>
    </w:p>
    <w:p w14:paraId="21E37153">
      <w:pPr>
        <w:ind w:left="0" w:leftChars="0" w:right="-92" w:rightChars="-44" w:firstLine="0" w:firstLineChars="0"/>
        <w:rPr>
          <w:rFonts w:hint="eastAsia" w:eastAsiaTheme="minorEastAsia"/>
          <w:lang w:eastAsia="zh-CN"/>
        </w:rPr>
      </w:pPr>
      <w:r>
        <w:rPr>
          <w:rFonts w:hint="eastAsia" w:eastAsiaTheme="minorEastAsia"/>
          <w:lang w:eastAsia="zh-CN"/>
        </w:rPr>
        <w:drawing>
          <wp:inline distT="0" distB="0" distL="114300" distR="114300">
            <wp:extent cx="2593975" cy="2458085"/>
            <wp:effectExtent l="4445" t="4445" r="11430" b="13970"/>
            <wp:docPr id="1"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593975" cy="2458085"/>
            <wp:effectExtent l="4445" t="4445" r="11430" b="13970"/>
            <wp:docPr id="3" name="图表 3"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6AD5E07">
      <w:pPr>
        <w:ind w:left="0" w:leftChars="0" w:right="-92" w:rightChars="-44" w:firstLine="0" w:firstLineChars="0"/>
        <w:jc w:val="center"/>
        <w:rPr>
          <w:rFonts w:hint="default"/>
          <w:lang w:val="en-US" w:eastAsia="zh-CN"/>
        </w:rPr>
      </w:pPr>
      <w:r>
        <w:rPr>
          <w:rFonts w:hint="eastAsia" w:ascii="仿宋" w:hAnsi="仿宋" w:eastAsia="仿宋" w:cs="仿宋"/>
          <w:color w:val="000000"/>
          <w:spacing w:val="-4"/>
          <w:sz w:val="24"/>
          <w:szCs w:val="24"/>
          <w:lang w:val="en-US" w:eastAsia="zh-CN"/>
        </w:rPr>
        <w:t>图一 2022年第一季度末实有市场主体分布图</w:t>
      </w:r>
    </w:p>
    <w:p w14:paraId="16AC9B2C">
      <w:pPr>
        <w:ind w:left="0" w:leftChars="0" w:right="-92" w:rightChars="-44" w:firstLine="0" w:firstLineChars="0"/>
        <w:rPr>
          <w:rFonts w:hint="eastAsia" w:eastAsiaTheme="minorEastAsia"/>
          <w:lang w:eastAsia="zh-CN"/>
        </w:rPr>
      </w:pPr>
    </w:p>
    <w:p w14:paraId="2696C2EC">
      <w:pPr>
        <w:ind w:left="0" w:leftChars="0" w:right="-92" w:rightChars="-44" w:firstLine="639" w:firstLineChars="205"/>
        <w:rPr>
          <w:rFonts w:hint="eastAsia" w:ascii="仿宋" w:hAnsi="仿宋" w:eastAsia="仿宋" w:cs="仿宋"/>
          <w:color w:val="000000"/>
          <w:spacing w:val="-4"/>
          <w:sz w:val="32"/>
          <w:szCs w:val="32"/>
          <w:lang w:eastAsia="zh-CN"/>
        </w:rPr>
      </w:pPr>
      <w:r>
        <w:rPr>
          <w:rFonts w:hint="eastAsia" w:ascii="仿宋" w:hAnsi="仿宋" w:eastAsia="仿宋" w:cs="仿宋"/>
          <w:color w:val="000000"/>
          <w:spacing w:val="-4"/>
          <w:sz w:val="32"/>
          <w:szCs w:val="32"/>
          <w:lang w:eastAsia="zh-CN"/>
        </w:rPr>
        <w:t>202</w:t>
      </w:r>
      <w:r>
        <w:rPr>
          <w:rFonts w:hint="eastAsia" w:ascii="仿宋" w:hAnsi="仿宋" w:eastAsia="仿宋" w:cs="仿宋"/>
          <w:color w:val="000000"/>
          <w:spacing w:val="-4"/>
          <w:sz w:val="32"/>
          <w:szCs w:val="32"/>
          <w:lang w:val="en-US" w:eastAsia="zh-CN"/>
        </w:rPr>
        <w:t>2</w:t>
      </w:r>
      <w:r>
        <w:rPr>
          <w:rFonts w:hint="eastAsia" w:ascii="仿宋" w:hAnsi="仿宋" w:eastAsia="仿宋" w:cs="仿宋"/>
          <w:color w:val="000000"/>
          <w:spacing w:val="-4"/>
          <w:sz w:val="32"/>
          <w:szCs w:val="32"/>
          <w:lang w:eastAsia="zh-CN"/>
        </w:rPr>
        <w:t>年</w:t>
      </w:r>
      <w:r>
        <w:rPr>
          <w:rFonts w:hint="eastAsia" w:ascii="仿宋" w:hAnsi="仿宋" w:eastAsia="仿宋" w:cs="仿宋"/>
          <w:color w:val="000000"/>
          <w:spacing w:val="-4"/>
          <w:sz w:val="32"/>
          <w:szCs w:val="32"/>
          <w:lang w:val="en-US" w:eastAsia="zh-CN"/>
        </w:rPr>
        <w:t>第一季度末</w:t>
      </w:r>
      <w:r>
        <w:rPr>
          <w:rFonts w:hint="eastAsia" w:ascii="仿宋" w:hAnsi="仿宋" w:eastAsia="仿宋" w:cs="仿宋"/>
          <w:color w:val="000000"/>
          <w:spacing w:val="-4"/>
          <w:sz w:val="32"/>
          <w:szCs w:val="32"/>
          <w:lang w:eastAsia="zh-CN"/>
        </w:rPr>
        <w:t>，全县新登记各类市场主体</w:t>
      </w:r>
      <w:r>
        <w:rPr>
          <w:rFonts w:hint="eastAsia" w:ascii="仿宋" w:hAnsi="仿宋" w:eastAsia="仿宋" w:cs="仿宋"/>
          <w:color w:val="000000"/>
          <w:spacing w:val="-4"/>
          <w:sz w:val="32"/>
          <w:szCs w:val="32"/>
          <w:lang w:val="en-US" w:eastAsia="zh-CN"/>
        </w:rPr>
        <w:t>7723</w:t>
      </w:r>
      <w:r>
        <w:rPr>
          <w:rFonts w:hint="eastAsia" w:ascii="仿宋" w:hAnsi="仿宋" w:eastAsia="仿宋" w:cs="仿宋"/>
          <w:color w:val="000000"/>
          <w:spacing w:val="-4"/>
          <w:sz w:val="32"/>
          <w:szCs w:val="32"/>
          <w:lang w:eastAsia="zh-CN"/>
        </w:rPr>
        <w:t>户，新登记注册资本（金）</w:t>
      </w:r>
      <w:r>
        <w:rPr>
          <w:rFonts w:hint="eastAsia" w:ascii="仿宋" w:hAnsi="仿宋" w:eastAsia="仿宋" w:cs="仿宋"/>
          <w:color w:val="000000"/>
          <w:spacing w:val="-4"/>
          <w:sz w:val="32"/>
          <w:szCs w:val="32"/>
          <w:lang w:val="en-US" w:eastAsia="zh-CN"/>
        </w:rPr>
        <w:t>32.03</w:t>
      </w:r>
      <w:r>
        <w:rPr>
          <w:rFonts w:hint="eastAsia" w:ascii="仿宋" w:hAnsi="仿宋" w:eastAsia="仿宋" w:cs="仿宋"/>
          <w:color w:val="000000"/>
          <w:spacing w:val="-4"/>
          <w:sz w:val="32"/>
          <w:szCs w:val="32"/>
          <w:lang w:eastAsia="zh-CN"/>
        </w:rPr>
        <w:t>亿元，同比增长</w:t>
      </w:r>
      <w:r>
        <w:rPr>
          <w:rFonts w:hint="eastAsia" w:ascii="仿宋" w:hAnsi="仿宋" w:eastAsia="仿宋" w:cs="仿宋"/>
          <w:color w:val="000000"/>
          <w:spacing w:val="-4"/>
          <w:sz w:val="32"/>
          <w:szCs w:val="32"/>
          <w:lang w:val="en-US" w:eastAsia="zh-CN"/>
        </w:rPr>
        <w:t>998.58</w:t>
      </w:r>
      <w:r>
        <w:rPr>
          <w:rFonts w:hint="eastAsia" w:ascii="仿宋" w:hAnsi="仿宋" w:eastAsia="仿宋" w:cs="仿宋"/>
          <w:color w:val="000000"/>
          <w:spacing w:val="-4"/>
          <w:sz w:val="32"/>
          <w:szCs w:val="32"/>
          <w:lang w:eastAsia="zh-CN"/>
        </w:rPr>
        <w:t>%、</w:t>
      </w:r>
      <w:r>
        <w:rPr>
          <w:rFonts w:hint="eastAsia" w:ascii="仿宋" w:hAnsi="仿宋" w:eastAsia="仿宋" w:cs="仿宋"/>
          <w:color w:val="000000"/>
          <w:spacing w:val="-4"/>
          <w:sz w:val="32"/>
          <w:szCs w:val="32"/>
          <w:lang w:val="en-US" w:eastAsia="zh-CN"/>
        </w:rPr>
        <w:t>188.44</w:t>
      </w:r>
      <w:r>
        <w:rPr>
          <w:rFonts w:hint="eastAsia" w:ascii="仿宋" w:hAnsi="仿宋" w:eastAsia="仿宋" w:cs="仿宋"/>
          <w:color w:val="000000"/>
          <w:spacing w:val="-4"/>
          <w:sz w:val="32"/>
          <w:szCs w:val="32"/>
          <w:lang w:eastAsia="zh-CN"/>
        </w:rPr>
        <w:t>%，新增市场主体总量和同比增长全市排名第</w:t>
      </w:r>
      <w:r>
        <w:rPr>
          <w:rFonts w:hint="eastAsia" w:ascii="仿宋" w:hAnsi="仿宋" w:eastAsia="仿宋" w:cs="仿宋"/>
          <w:color w:val="000000"/>
          <w:spacing w:val="-4"/>
          <w:sz w:val="32"/>
          <w:szCs w:val="32"/>
          <w:lang w:val="en-US" w:eastAsia="zh-CN"/>
        </w:rPr>
        <w:t>2</w:t>
      </w:r>
      <w:r>
        <w:rPr>
          <w:rFonts w:hint="eastAsia" w:ascii="仿宋" w:hAnsi="仿宋" w:eastAsia="仿宋" w:cs="仿宋"/>
          <w:color w:val="000000"/>
          <w:spacing w:val="-4"/>
          <w:sz w:val="32"/>
          <w:szCs w:val="32"/>
          <w:lang w:eastAsia="zh-CN"/>
        </w:rPr>
        <w:t>位。</w:t>
      </w:r>
    </w:p>
    <w:p w14:paraId="28FFBD1F">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仿宋" w:hAnsi="仿宋" w:eastAsia="仿宋" w:cs="仿宋"/>
          <w:color w:val="000000"/>
          <w:spacing w:val="-4"/>
          <w:sz w:val="24"/>
          <w:szCs w:val="24"/>
          <w:lang w:val="en-US" w:eastAsia="zh-CN"/>
        </w:rPr>
      </w:pPr>
      <w:r>
        <w:rPr>
          <w:rFonts w:hint="eastAsia" w:ascii="仿宋" w:hAnsi="仿宋" w:eastAsia="仿宋" w:cs="仿宋"/>
          <w:color w:val="000000"/>
          <w:spacing w:val="-4"/>
          <w:sz w:val="24"/>
          <w:szCs w:val="24"/>
          <w:lang w:val="en-US" w:eastAsia="zh-CN"/>
        </w:rPr>
        <w:t>表二  2022年第一季度全县新登记市场主体同比表</w:t>
      </w:r>
    </w:p>
    <w:p w14:paraId="5403F41F">
      <w:pPr>
        <w:ind w:left="0" w:leftChars="0" w:right="-92" w:rightChars="-44" w:firstLine="0" w:firstLineChars="0"/>
        <w:jc w:val="center"/>
        <w:rPr>
          <w:rFonts w:hint="eastAsia" w:eastAsiaTheme="minorEastAsia"/>
          <w:lang w:eastAsia="zh-CN"/>
        </w:rPr>
      </w:pPr>
      <w:r>
        <w:rPr>
          <w:rFonts w:hint="eastAsia" w:ascii="仿宋" w:hAnsi="仿宋" w:eastAsia="仿宋" w:cs="仿宋"/>
          <w:color w:val="000000"/>
          <w:spacing w:val="-4"/>
          <w:sz w:val="32"/>
          <w:szCs w:val="32"/>
          <w:lang w:eastAsia="zh-CN"/>
        </w:rPr>
        <w:object>
          <v:shape id="_x0000_i1026" o:spt="75" type="#_x0000_t75" style="height:138.7pt;width:460.25pt;" o:ole="t" filled="f" o:preferrelative="t" stroked="f" coordsize="21600,21600">
            <v:path/>
            <v:fill on="f" focussize="0,0"/>
            <v:stroke on="f"/>
            <v:imagedata r:id="rId9" o:title=""/>
            <o:lock v:ext="edit" aspectratio="t"/>
            <w10:wrap type="none"/>
            <w10:anchorlock/>
          </v:shape>
          <o:OLEObject Type="Embed" ProgID="Excel.Sheet.8" ShapeID="_x0000_i1026" DrawAspect="Content" ObjectID="_1468075726" r:id="rId8">
            <o:LockedField>false</o:LockedField>
          </o:OLEObject>
        </w:object>
      </w:r>
      <w:r>
        <w:rPr>
          <w:rFonts w:hint="eastAsia" w:eastAsiaTheme="minorEastAsia"/>
          <w:lang w:eastAsia="zh-CN"/>
        </w:rPr>
        <w:drawing>
          <wp:inline distT="0" distB="0" distL="114300" distR="114300">
            <wp:extent cx="2593975" cy="2458085"/>
            <wp:effectExtent l="4445" t="4445" r="11430" b="13970"/>
            <wp:docPr id="4" name="图表 4"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B2F445">
      <w:pPr>
        <w:ind w:left="0" w:leftChars="0" w:right="-92" w:rightChars="-44" w:firstLine="0" w:firstLineChars="0"/>
        <w:jc w:val="center"/>
        <w:rPr>
          <w:rFonts w:hint="eastAsia"/>
          <w:lang w:val="en-US" w:eastAsia="zh-CN"/>
        </w:rPr>
      </w:pPr>
      <w:r>
        <w:rPr>
          <w:rFonts w:hint="eastAsia" w:ascii="仿宋" w:hAnsi="仿宋" w:eastAsia="仿宋" w:cs="仿宋"/>
          <w:color w:val="000000"/>
          <w:spacing w:val="-4"/>
          <w:sz w:val="24"/>
          <w:szCs w:val="24"/>
          <w:lang w:val="en-US" w:eastAsia="zh-CN"/>
        </w:rPr>
        <w:t>图二 2022年第一季度末新登记市场主体占比</w:t>
      </w:r>
    </w:p>
    <w:p w14:paraId="3F94F99A">
      <w:pPr>
        <w:spacing w:line="560" w:lineRule="exact"/>
        <w:ind w:firstLine="643" w:firstLineChars="200"/>
        <w:jc w:val="left"/>
        <w:rPr>
          <w:rFonts w:hint="eastAsia" w:ascii="楷体_GB2312" w:hAnsi="黑体" w:eastAsia="楷体_GB2312" w:cs="Times New Roman"/>
          <w:b/>
          <w:bCs/>
          <w:sz w:val="32"/>
          <w:szCs w:val="32"/>
          <w:lang w:eastAsia="zh-CN"/>
        </w:rPr>
      </w:pPr>
      <w:r>
        <w:rPr>
          <w:rFonts w:hint="eastAsia" w:ascii="楷体_GB2312" w:hAnsi="黑体" w:eastAsia="楷体_GB2312" w:cs="Times New Roman"/>
          <w:b/>
          <w:bCs/>
          <w:sz w:val="32"/>
          <w:szCs w:val="32"/>
          <w:lang w:eastAsia="zh-CN"/>
        </w:rPr>
        <w:t>（</w:t>
      </w:r>
      <w:r>
        <w:rPr>
          <w:rFonts w:hint="eastAsia" w:ascii="楷体_GB2312" w:hAnsi="黑体" w:eastAsia="楷体_GB2312" w:cs="Times New Roman"/>
          <w:b/>
          <w:bCs/>
          <w:sz w:val="32"/>
          <w:szCs w:val="32"/>
          <w:lang w:val="en-US" w:eastAsia="zh-CN"/>
        </w:rPr>
        <w:t>二</w:t>
      </w:r>
      <w:r>
        <w:rPr>
          <w:rFonts w:hint="eastAsia" w:ascii="楷体_GB2312" w:hAnsi="黑体" w:eastAsia="楷体_GB2312" w:cs="Times New Roman"/>
          <w:b/>
          <w:bCs/>
          <w:sz w:val="32"/>
          <w:szCs w:val="32"/>
          <w:lang w:eastAsia="zh-CN"/>
        </w:rPr>
        <w:t>）市场主体发展概况（</w:t>
      </w:r>
      <w:r>
        <w:rPr>
          <w:rFonts w:hint="eastAsia" w:ascii="楷体_GB2312" w:hAnsi="黑体" w:eastAsia="楷体_GB2312" w:cs="Times New Roman"/>
          <w:b/>
          <w:bCs/>
          <w:sz w:val="32"/>
          <w:szCs w:val="32"/>
          <w:lang w:val="en-US" w:eastAsia="zh-CN"/>
        </w:rPr>
        <w:t>按行业分析</w:t>
      </w:r>
      <w:r>
        <w:rPr>
          <w:rFonts w:hint="eastAsia" w:ascii="楷体_GB2312" w:hAnsi="黑体" w:eastAsia="楷体_GB2312" w:cs="Times New Roman"/>
          <w:b/>
          <w:bCs/>
          <w:sz w:val="32"/>
          <w:szCs w:val="32"/>
          <w:lang w:eastAsia="zh-CN"/>
        </w:rPr>
        <w:t>）</w:t>
      </w:r>
    </w:p>
    <w:p w14:paraId="6F598E04">
      <w:pPr>
        <w:keepNext w:val="0"/>
        <w:keepLines w:val="0"/>
        <w:pageBreakBefore w:val="0"/>
        <w:kinsoku/>
        <w:wordWrap/>
        <w:overflowPunct/>
        <w:topLinePunct w:val="0"/>
        <w:autoSpaceDE/>
        <w:autoSpaceDN/>
        <w:bidi w:val="0"/>
        <w:adjustRightInd/>
        <w:snapToGrid/>
        <w:spacing w:line="560" w:lineRule="exact"/>
        <w:ind w:firstLine="624" w:firstLineChars="200"/>
        <w:rPr>
          <w:rFonts w:hint="eastAsia" w:ascii="仿宋_GB2312" w:eastAsia="仿宋_GB2312"/>
          <w:color w:val="000000"/>
          <w:sz w:val="32"/>
          <w:szCs w:val="32"/>
          <w:lang w:val="en-US" w:eastAsia="zh-CN"/>
        </w:rPr>
      </w:pPr>
      <w:r>
        <w:rPr>
          <w:rFonts w:hint="eastAsia" w:ascii="仿宋_GB2312" w:eastAsia="仿宋_GB2312"/>
          <w:color w:val="000000"/>
          <w:spacing w:val="-4"/>
          <w:sz w:val="32"/>
          <w:szCs w:val="32"/>
          <w:lang w:val="en-US" w:eastAsia="zh-CN"/>
        </w:rPr>
        <w:t>2022年一季度</w:t>
      </w:r>
      <w:r>
        <w:rPr>
          <w:rFonts w:hint="eastAsia" w:ascii="仿宋_GB2312" w:eastAsia="仿宋_GB2312"/>
          <w:color w:val="000000"/>
          <w:spacing w:val="-4"/>
          <w:sz w:val="32"/>
          <w:szCs w:val="32"/>
        </w:rPr>
        <w:t>末，</w:t>
      </w:r>
      <w:r>
        <w:rPr>
          <w:rFonts w:hint="eastAsia" w:ascii="仿宋_GB2312" w:eastAsia="仿宋_GB2312"/>
          <w:color w:val="000000"/>
          <w:sz w:val="32"/>
          <w:szCs w:val="32"/>
          <w:lang w:eastAsia="zh-CN"/>
        </w:rPr>
        <w:t>全县</w:t>
      </w:r>
      <w:r>
        <w:rPr>
          <w:rFonts w:hint="eastAsia" w:ascii="仿宋_GB2312" w:eastAsia="仿宋_GB2312"/>
          <w:color w:val="000000"/>
          <w:sz w:val="32"/>
          <w:szCs w:val="32"/>
          <w:lang w:val="en-US" w:eastAsia="zh-CN"/>
        </w:rPr>
        <w:t>实有市场主体</w:t>
      </w:r>
      <w:r>
        <w:rPr>
          <w:rFonts w:hint="eastAsia" w:ascii="仿宋_GB2312" w:eastAsia="仿宋_GB2312"/>
          <w:color w:val="000000"/>
          <w:sz w:val="32"/>
          <w:szCs w:val="32"/>
        </w:rPr>
        <w:t>在行业分布上，户数位居前6位分别为：批发和零售业</w:t>
      </w:r>
      <w:r>
        <w:rPr>
          <w:rFonts w:hint="eastAsia" w:ascii="仿宋_GB2312" w:eastAsia="仿宋_GB2312"/>
          <w:color w:val="000000"/>
          <w:sz w:val="32"/>
          <w:szCs w:val="32"/>
          <w:lang w:val="en-US" w:eastAsia="zh-CN"/>
        </w:rPr>
        <w:t>32565</w:t>
      </w:r>
      <w:r>
        <w:rPr>
          <w:rFonts w:hint="eastAsia" w:ascii="仿宋_GB2312" w:eastAsia="仿宋_GB2312"/>
          <w:color w:val="000000"/>
          <w:sz w:val="32"/>
          <w:szCs w:val="32"/>
        </w:rPr>
        <w:t>户；住宿和餐饮业</w:t>
      </w:r>
      <w:r>
        <w:rPr>
          <w:rFonts w:hint="eastAsia" w:ascii="仿宋_GB2312" w:eastAsia="仿宋_GB2312"/>
          <w:color w:val="000000"/>
          <w:sz w:val="32"/>
          <w:szCs w:val="32"/>
          <w:lang w:val="en-US" w:eastAsia="zh-CN"/>
        </w:rPr>
        <w:t>4188户；农、林、牧、渔业3195户；居民服务和其他服务业3181户；制造业2545户；建筑业和商业服务业1553户。</w:t>
      </w:r>
    </w:p>
    <w:p w14:paraId="711F0328">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仿宋" w:hAnsi="仿宋" w:eastAsia="仿宋" w:cs="仿宋"/>
          <w:color w:val="000000"/>
          <w:spacing w:val="-4"/>
          <w:sz w:val="24"/>
          <w:szCs w:val="24"/>
          <w:lang w:val="en-US" w:eastAsia="zh-CN"/>
        </w:rPr>
      </w:pPr>
      <w:r>
        <w:rPr>
          <w:rFonts w:hint="eastAsia" w:ascii="仿宋" w:hAnsi="仿宋" w:eastAsia="仿宋" w:cs="仿宋"/>
          <w:color w:val="000000"/>
          <w:spacing w:val="-4"/>
          <w:sz w:val="24"/>
          <w:szCs w:val="24"/>
          <w:lang w:val="en-US" w:eastAsia="zh-CN"/>
        </w:rPr>
        <w:t>图三  2022年第一季度实有市场主体分布情况</w:t>
      </w:r>
    </w:p>
    <w:p w14:paraId="4394C6B5">
      <w:pPr>
        <w:ind w:left="0" w:leftChars="0" w:right="-92" w:rightChars="-44" w:firstLine="0" w:firstLineChars="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0686EE">
      <w:pPr>
        <w:keepNext w:val="0"/>
        <w:keepLines w:val="0"/>
        <w:pageBreakBefore w:val="0"/>
        <w:kinsoku/>
        <w:wordWrap/>
        <w:overflowPunct/>
        <w:topLinePunct w:val="0"/>
        <w:autoSpaceDE/>
        <w:autoSpaceDN/>
        <w:bidi w:val="0"/>
        <w:adjustRightInd/>
        <w:snapToGrid/>
        <w:spacing w:line="560" w:lineRule="exact"/>
        <w:ind w:firstLine="624" w:firstLineChars="200"/>
        <w:rPr>
          <w:rFonts w:hint="eastAsia" w:ascii="仿宋_GB2312" w:eastAsia="仿宋_GB2312"/>
          <w:color w:val="000000"/>
          <w:sz w:val="32"/>
          <w:szCs w:val="32"/>
          <w:lang w:val="en-US" w:eastAsia="zh-CN"/>
        </w:rPr>
      </w:pPr>
      <w:r>
        <w:rPr>
          <w:rFonts w:hint="eastAsia" w:ascii="仿宋_GB2312" w:eastAsia="仿宋_GB2312"/>
          <w:color w:val="000000"/>
          <w:spacing w:val="-4"/>
          <w:sz w:val="32"/>
          <w:szCs w:val="32"/>
          <w:lang w:val="en-US" w:eastAsia="zh-CN"/>
        </w:rPr>
        <w:t>2022年一季度</w:t>
      </w:r>
      <w:r>
        <w:rPr>
          <w:rFonts w:hint="eastAsia" w:ascii="仿宋_GB2312" w:eastAsia="仿宋_GB2312"/>
          <w:color w:val="000000"/>
          <w:spacing w:val="-4"/>
          <w:sz w:val="32"/>
          <w:szCs w:val="32"/>
        </w:rPr>
        <w:t>，</w:t>
      </w:r>
      <w:r>
        <w:rPr>
          <w:rFonts w:hint="eastAsia" w:ascii="仿宋_GB2312" w:eastAsia="仿宋_GB2312"/>
          <w:color w:val="000000"/>
          <w:sz w:val="32"/>
          <w:szCs w:val="32"/>
          <w:lang w:eastAsia="zh-CN"/>
        </w:rPr>
        <w:t>全县</w:t>
      </w:r>
      <w:r>
        <w:rPr>
          <w:rFonts w:hint="eastAsia" w:ascii="仿宋_GB2312" w:eastAsia="仿宋_GB2312"/>
          <w:color w:val="000000"/>
          <w:sz w:val="32"/>
          <w:szCs w:val="32"/>
          <w:lang w:val="en-US" w:eastAsia="zh-CN"/>
        </w:rPr>
        <w:t>登记市场主体</w:t>
      </w:r>
      <w:r>
        <w:rPr>
          <w:rFonts w:hint="eastAsia" w:ascii="仿宋_GB2312" w:eastAsia="仿宋_GB2312"/>
          <w:color w:val="000000"/>
          <w:sz w:val="32"/>
          <w:szCs w:val="32"/>
        </w:rPr>
        <w:t>在行业分布上，</w:t>
      </w:r>
      <w:r>
        <w:rPr>
          <w:rFonts w:hint="eastAsia" w:ascii="仿宋_GB2312" w:eastAsia="仿宋_GB2312"/>
          <w:color w:val="000000"/>
          <w:sz w:val="32"/>
          <w:szCs w:val="32"/>
          <w:lang w:val="en-US" w:eastAsia="zh-CN"/>
        </w:rPr>
        <w:t>同比增幅</w:t>
      </w:r>
      <w:r>
        <w:rPr>
          <w:rFonts w:hint="eastAsia" w:ascii="仿宋_GB2312" w:eastAsia="仿宋_GB2312"/>
          <w:color w:val="000000"/>
          <w:sz w:val="32"/>
          <w:szCs w:val="32"/>
        </w:rPr>
        <w:t>位居前6位</w:t>
      </w:r>
      <w:r>
        <w:rPr>
          <w:rFonts w:hint="eastAsia" w:ascii="仿宋_GB2312" w:eastAsia="仿宋_GB2312"/>
          <w:color w:val="000000"/>
          <w:sz w:val="32"/>
          <w:szCs w:val="32"/>
          <w:lang w:val="en-US" w:eastAsia="zh-CN"/>
        </w:rPr>
        <w:t>的行业</w:t>
      </w:r>
      <w:r>
        <w:rPr>
          <w:rFonts w:hint="eastAsia" w:ascii="仿宋_GB2312" w:eastAsia="仿宋_GB2312"/>
          <w:color w:val="000000"/>
          <w:sz w:val="32"/>
          <w:szCs w:val="32"/>
        </w:rPr>
        <w:t>分别为：</w:t>
      </w:r>
      <w:r>
        <w:rPr>
          <w:rFonts w:hint="eastAsia" w:ascii="仿宋_GB2312" w:eastAsia="仿宋_GB2312"/>
          <w:color w:val="000000"/>
          <w:sz w:val="32"/>
          <w:szCs w:val="32"/>
          <w:lang w:val="en-US" w:eastAsia="zh-CN"/>
        </w:rPr>
        <w:t>科学研究和技术服务业558户</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信息传输、计算机服务和软件业272户</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批发和零售业6170户</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制造业125户</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水利、环境和公共设施管理业7户</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文化、体育与娱乐业21户。</w:t>
      </w:r>
    </w:p>
    <w:p w14:paraId="5E8F0121">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仿宋" w:hAnsi="仿宋" w:eastAsia="仿宋" w:cs="仿宋"/>
          <w:color w:val="000000"/>
          <w:spacing w:val="-4"/>
          <w:sz w:val="24"/>
          <w:szCs w:val="24"/>
          <w:lang w:val="en-US" w:eastAsia="zh-CN"/>
        </w:rPr>
      </w:pPr>
    </w:p>
    <w:p w14:paraId="0AF7FDEE">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仿宋" w:hAnsi="仿宋" w:eastAsia="仿宋" w:cs="仿宋"/>
          <w:color w:val="000000"/>
          <w:spacing w:val="-4"/>
          <w:sz w:val="24"/>
          <w:szCs w:val="24"/>
          <w:lang w:val="en-US" w:eastAsia="zh-CN"/>
        </w:rPr>
      </w:pPr>
      <w:r>
        <w:rPr>
          <w:rFonts w:hint="eastAsia" w:ascii="仿宋" w:hAnsi="仿宋" w:eastAsia="仿宋" w:cs="仿宋"/>
          <w:color w:val="000000"/>
          <w:spacing w:val="-4"/>
          <w:sz w:val="24"/>
          <w:szCs w:val="24"/>
          <w:lang w:val="en-US" w:eastAsia="zh-CN"/>
        </w:rPr>
        <w:t>图四  2022年第一季度登记市场主体分布情况</w:t>
      </w:r>
    </w:p>
    <w:p w14:paraId="5D270A20">
      <w:pPr>
        <w:rPr>
          <w:rFonts w:hint="eastAsia" w:ascii="黑体" w:hAnsi="黑体" w:eastAsia="黑体"/>
          <w:sz w:val="32"/>
          <w:szCs w:val="32"/>
          <w:lang w:eastAsia="zh-CN"/>
        </w:rPr>
      </w:pPr>
      <w:r>
        <w:rPr>
          <w:rFonts w:hint="eastAsia" w:ascii="仿宋_GB2312" w:eastAsia="仿宋_GB2312"/>
          <w:color w:val="000000"/>
          <w:sz w:val="32"/>
          <w:szCs w:val="32"/>
          <w:lang w:val="en-US"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4801AA">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市场主体发展情况分析</w:t>
      </w:r>
    </w:p>
    <w:p w14:paraId="79F1179D">
      <w:pPr>
        <w:spacing w:line="560" w:lineRule="exact"/>
        <w:ind w:firstLine="420" w:firstLineChars="0"/>
        <w:jc w:val="left"/>
        <w:rPr>
          <w:rFonts w:hint="default" w:ascii="楷体_GB2312" w:hAnsi="黑体" w:eastAsia="楷体_GB2312" w:cs="Times New Roman"/>
          <w:b/>
          <w:bCs/>
          <w:sz w:val="32"/>
          <w:szCs w:val="32"/>
          <w:lang w:val="en-US" w:eastAsia="zh-CN"/>
        </w:rPr>
      </w:pPr>
      <w:r>
        <w:rPr>
          <w:rFonts w:hint="eastAsia" w:ascii="楷体_GB2312" w:hAnsi="黑体" w:eastAsia="楷体_GB2312" w:cs="Times New Roman"/>
          <w:b/>
          <w:bCs/>
          <w:sz w:val="32"/>
          <w:szCs w:val="32"/>
          <w:lang w:eastAsia="zh-CN"/>
        </w:rPr>
        <w:t>（一）市场主体发展特点</w:t>
      </w:r>
    </w:p>
    <w:p w14:paraId="58A9E51D">
      <w:pPr>
        <w:ind w:firstLine="627" w:firstLineChars="196"/>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2022年以来，面对后疫情时代国内和国际经济发展形势变化带来的多重挑战，</w:t>
      </w:r>
      <w:r>
        <w:rPr>
          <w:rFonts w:hint="eastAsia" w:ascii="仿宋_GB2312" w:hAnsi="仿宋_GB2312" w:eastAsia="仿宋_GB2312" w:cs="仿宋_GB2312"/>
          <w:color w:val="000000"/>
          <w:sz w:val="32"/>
          <w:szCs w:val="32"/>
        </w:rPr>
        <w:t>市场监管局</w:t>
      </w:r>
      <w:r>
        <w:rPr>
          <w:rFonts w:hint="eastAsia" w:ascii="仿宋_GB2312" w:hAnsi="仿宋_GB2312" w:eastAsia="仿宋_GB2312" w:cs="仿宋_GB2312"/>
          <w:color w:val="000000"/>
          <w:sz w:val="32"/>
          <w:szCs w:val="32"/>
          <w:lang w:eastAsia="zh-CN"/>
        </w:rPr>
        <w:t>按照按照县委、县政府关于高质量推动市场主体发展工作要求，紧紧把握持续深化营商环境主基调，</w:t>
      </w:r>
      <w:r>
        <w:rPr>
          <w:rFonts w:hint="eastAsia" w:ascii="仿宋_GB2312" w:hAnsi="仿宋_GB2312" w:eastAsia="仿宋_GB2312" w:cs="仿宋_GB2312"/>
          <w:color w:val="000000"/>
          <w:sz w:val="32"/>
          <w:szCs w:val="32"/>
        </w:rPr>
        <w:t>聚焦社会关注、企业关心、群众关切的堵点、痛点、难点问题，</w:t>
      </w:r>
      <w:r>
        <w:rPr>
          <w:rFonts w:hint="eastAsia" w:ascii="仿宋_GB2312" w:hAnsi="仿宋_GB2312" w:eastAsia="仿宋_GB2312" w:cs="仿宋_GB2312"/>
          <w:color w:val="000000"/>
          <w:sz w:val="32"/>
          <w:szCs w:val="32"/>
          <w:lang w:eastAsia="zh-CN"/>
        </w:rPr>
        <w:t>着力提高企业开办效率，推进政务服务便利化，推行“证照分离”“多证合一”、便利化注销，通过出实招、强措施，我县营商环境进一步优化，群众办事更加方便快捷，</w:t>
      </w:r>
      <w:r>
        <w:rPr>
          <w:rFonts w:hint="eastAsia" w:ascii="仿宋_GB2312" w:hAnsi="仿宋_GB2312" w:eastAsia="仿宋_GB2312" w:cs="仿宋_GB2312"/>
          <w:color w:val="000000"/>
          <w:sz w:val="32"/>
          <w:szCs w:val="32"/>
        </w:rPr>
        <w:t>有效激发市场主体创业、创新发展新活力，</w:t>
      </w:r>
      <w:r>
        <w:rPr>
          <w:rFonts w:hint="eastAsia" w:ascii="仿宋_GB2312" w:hAnsi="仿宋_GB2312" w:eastAsia="仿宋_GB2312" w:cs="仿宋_GB2312"/>
          <w:color w:val="000000"/>
          <w:sz w:val="32"/>
          <w:szCs w:val="32"/>
          <w:lang w:eastAsia="zh-CN"/>
        </w:rPr>
        <w:t>一季度，市场主体总量同比增长</w:t>
      </w:r>
      <w:r>
        <w:rPr>
          <w:rFonts w:hint="eastAsia" w:ascii="仿宋_GB2312" w:hAnsi="仿宋_GB2312" w:eastAsia="仿宋_GB2312" w:cs="仿宋_GB2312"/>
          <w:color w:val="000000"/>
          <w:sz w:val="32"/>
          <w:szCs w:val="32"/>
          <w:lang w:val="en-US" w:eastAsia="zh-CN"/>
        </w:rPr>
        <w:t>33.47%，全市排名</w:t>
      </w:r>
      <w:r>
        <w:rPr>
          <w:rFonts w:hint="eastAsia" w:ascii="仿宋_GB2312" w:hAnsi="仿宋_GB2312" w:eastAsia="仿宋_GB2312" w:cs="仿宋_GB2312"/>
          <w:b/>
          <w:bCs/>
          <w:color w:val="000000"/>
          <w:sz w:val="32"/>
          <w:szCs w:val="32"/>
          <w:lang w:val="en-US" w:eastAsia="zh-CN"/>
        </w:rPr>
        <w:t>第3</w:t>
      </w:r>
      <w:r>
        <w:rPr>
          <w:rFonts w:hint="eastAsia" w:ascii="仿宋_GB2312" w:hAnsi="仿宋_GB2312" w:eastAsia="仿宋_GB2312" w:cs="仿宋_GB2312"/>
          <w:color w:val="000000"/>
          <w:sz w:val="32"/>
          <w:szCs w:val="32"/>
          <w:lang w:val="en-US" w:eastAsia="zh-CN"/>
        </w:rPr>
        <w:t>；新增市场主体7723户，同比增长998.58%，全市排名</w:t>
      </w:r>
      <w:r>
        <w:rPr>
          <w:rFonts w:hint="eastAsia" w:ascii="仿宋_GB2312" w:hAnsi="仿宋_GB2312" w:eastAsia="仿宋_GB2312" w:cs="仿宋_GB2312"/>
          <w:b/>
          <w:bCs/>
          <w:color w:val="000000"/>
          <w:sz w:val="32"/>
          <w:szCs w:val="32"/>
          <w:lang w:val="en-US" w:eastAsia="zh-CN"/>
        </w:rPr>
        <w:t>第2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实现市场主体总量、新增市场主体总量双增长双提升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然而从行业分布、发展态势来看，依然还有很多不足和亟需转变的发展压力。</w:t>
      </w:r>
    </w:p>
    <w:p w14:paraId="3DF9D2C6">
      <w:pPr>
        <w:ind w:firstLine="630" w:firstLineChars="196"/>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1.营商环境持续优化，创业兴业意愿趋“高”。</w:t>
      </w: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color w:val="000000"/>
          <w:sz w:val="32"/>
          <w:szCs w:val="32"/>
          <w:lang w:eastAsia="zh-CN"/>
        </w:rPr>
        <w:t>领导重视谋思路，部门聚力促发展。年初，县委、县政府提出“引进、培育、壮大”工作思路，将“纵深推进放管服改革，打造市场化、法治化、国际化营商环境，确保市场主体稳定在</w:t>
      </w:r>
      <w:r>
        <w:rPr>
          <w:rFonts w:hint="eastAsia" w:ascii="仿宋_GB2312" w:hAnsi="仿宋_GB2312" w:eastAsia="仿宋_GB2312" w:cs="仿宋_GB2312"/>
          <w:color w:val="000000"/>
          <w:sz w:val="32"/>
          <w:szCs w:val="32"/>
          <w:lang w:val="en-US" w:eastAsia="zh-CN"/>
        </w:rPr>
        <w:t>0.8</w:t>
      </w:r>
      <w:r>
        <w:rPr>
          <w:rFonts w:hint="eastAsia" w:ascii="仿宋_GB2312" w:hAnsi="仿宋_GB2312" w:eastAsia="仿宋_GB2312" w:cs="仿宋_GB2312"/>
          <w:color w:val="000000"/>
          <w:sz w:val="32"/>
          <w:szCs w:val="32"/>
          <w:lang w:eastAsia="zh-CN"/>
        </w:rPr>
        <w:t>万户以上”的工作目标，写进2022年《政府工作报告》。我局积极发挥部门职能优势，联合各有关部门，重点推进“个转企”、“小升规”、“优上市”，培育高新技术企业等方面提出了各项优化措施。</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color w:val="000000"/>
          <w:sz w:val="32"/>
          <w:szCs w:val="32"/>
          <w:lang w:eastAsia="zh-CN"/>
        </w:rPr>
        <w:t>多措并举促发展，提升企业开办便利度。创新推行企业开办“1050”标准（1个环节：一窗申请，0.5天办结，零费用）。实现设立登记、公章刻制、申领发票、社保登记实现同步办理，将银行预约纳入企业开办服务范畴，推进动银行开户信息推送到相关部门。全面落实企业住所申报承诺制，以“一纸承诺”取代“一摞材料”，实现企业开办再加速。依托“湖北政务服务网”，实现税务、社保、市场监管“一网通办”，强化税务、社保、市场监管等环节协同办理，全流程1个工作日办结。深入推进“一业一证”改革，着力解决准入不准营难题。到目前，我县共发出行业综合许可证</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份。</w:t>
      </w:r>
      <w:r>
        <w:rPr>
          <w:rFonts w:hint="eastAsia" w:ascii="仿宋_GB2312" w:hAnsi="仿宋_GB2312" w:eastAsia="仿宋_GB2312" w:cs="仿宋_GB2312"/>
          <w:b/>
          <w:bCs/>
          <w:color w:val="000000"/>
          <w:sz w:val="32"/>
          <w:szCs w:val="32"/>
          <w:lang w:eastAsia="zh-CN"/>
        </w:rPr>
        <w:t>三是</w:t>
      </w:r>
      <w:r>
        <w:rPr>
          <w:rFonts w:hint="eastAsia" w:ascii="仿宋_GB2312" w:hAnsi="仿宋_GB2312" w:eastAsia="仿宋_GB2312" w:cs="仿宋_GB2312"/>
          <w:color w:val="000000"/>
          <w:sz w:val="32"/>
          <w:szCs w:val="32"/>
          <w:lang w:eastAsia="zh-CN"/>
        </w:rPr>
        <w:t>优化服务提效能，打造高效便捷的政务环境。打造“办事不求人”政务品牌。我局在系统内开展市场主体全生命周期“办事不求人”活动。下发了《推进“办事不求人”的实施方案》，聚焦自主开办、诚信经营、解决争议等市场主体全生命周期，发布“办事不求人”事项，创建“办事不求人”窗口，各相关单位主动靠前服务，解答市场主体疑难问题，让市场主体详尽了解“办事不求人”相关政策，打造“办事不求人”的政务品牌，真正让群众有实实在在的获得感和认同感。推行智慧“二进”，审批搬到“家门口”。我局全力推进登记许可自助一体机到政务中心、到乡镇的“二到家”机制，打造无人值守、不打烊、零见面、零接触的新型政务服务模式，把开办服务送到千家万户，打通市场主体开办的“最后一公里”。截至目前，我县投入</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台登记自助机。截至第一季度末，全县实有各类市场主体</w:t>
      </w:r>
      <w:r>
        <w:rPr>
          <w:rFonts w:hint="eastAsia" w:ascii="仿宋_GB2312" w:hAnsi="仿宋_GB2312" w:eastAsia="仿宋_GB2312" w:cs="仿宋_GB2312"/>
          <w:color w:val="000000"/>
          <w:sz w:val="32"/>
          <w:szCs w:val="32"/>
          <w:lang w:val="en-US" w:eastAsia="zh-CN"/>
        </w:rPr>
        <w:t>51782</w:t>
      </w:r>
      <w:r>
        <w:rPr>
          <w:rFonts w:hint="eastAsia" w:ascii="仿宋_GB2312" w:hAnsi="仿宋_GB2312" w:eastAsia="仿宋_GB2312" w:cs="仿宋_GB2312"/>
          <w:color w:val="000000"/>
          <w:sz w:val="32"/>
          <w:szCs w:val="32"/>
          <w:lang w:eastAsia="zh-CN"/>
        </w:rPr>
        <w:t>户，注册资本（金）</w:t>
      </w:r>
      <w:r>
        <w:rPr>
          <w:rFonts w:hint="eastAsia" w:ascii="仿宋_GB2312" w:hAnsi="仿宋_GB2312" w:eastAsia="仿宋_GB2312" w:cs="仿宋_GB2312"/>
          <w:color w:val="000000"/>
          <w:sz w:val="32"/>
          <w:szCs w:val="32"/>
          <w:lang w:val="en-US" w:eastAsia="zh-CN"/>
        </w:rPr>
        <w:t>440.12</w:t>
      </w:r>
      <w:r>
        <w:rPr>
          <w:rFonts w:hint="eastAsia" w:ascii="仿宋_GB2312" w:hAnsi="仿宋_GB2312" w:eastAsia="仿宋_GB2312" w:cs="仿宋_GB2312"/>
          <w:color w:val="000000"/>
          <w:sz w:val="32"/>
          <w:szCs w:val="32"/>
          <w:lang w:eastAsia="zh-CN"/>
        </w:rPr>
        <w:t>亿元，同比增长</w:t>
      </w:r>
      <w:r>
        <w:rPr>
          <w:rFonts w:hint="eastAsia" w:ascii="仿宋_GB2312" w:hAnsi="仿宋_GB2312" w:eastAsia="仿宋_GB2312" w:cs="仿宋_GB2312"/>
          <w:color w:val="000000"/>
          <w:sz w:val="32"/>
          <w:szCs w:val="32"/>
          <w:lang w:val="en-US" w:eastAsia="zh-CN"/>
        </w:rPr>
        <w:t>33.47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16.43</w:t>
      </w:r>
      <w:r>
        <w:rPr>
          <w:rFonts w:hint="eastAsia" w:ascii="仿宋_GB2312" w:hAnsi="仿宋_GB2312" w:eastAsia="仿宋_GB2312" w:cs="仿宋_GB2312"/>
          <w:color w:val="000000"/>
          <w:sz w:val="32"/>
          <w:szCs w:val="32"/>
          <w:lang w:eastAsia="zh-CN"/>
        </w:rPr>
        <w:t>%。全县新登记各类市场主体</w:t>
      </w:r>
      <w:r>
        <w:rPr>
          <w:rFonts w:hint="eastAsia" w:ascii="仿宋_GB2312" w:hAnsi="仿宋_GB2312" w:eastAsia="仿宋_GB2312" w:cs="仿宋_GB2312"/>
          <w:color w:val="000000"/>
          <w:sz w:val="32"/>
          <w:szCs w:val="32"/>
          <w:lang w:val="en-US" w:eastAsia="zh-CN"/>
        </w:rPr>
        <w:t>7723</w:t>
      </w:r>
      <w:r>
        <w:rPr>
          <w:rFonts w:hint="eastAsia" w:ascii="仿宋_GB2312" w:hAnsi="仿宋_GB2312" w:eastAsia="仿宋_GB2312" w:cs="仿宋_GB2312"/>
          <w:color w:val="000000"/>
          <w:sz w:val="32"/>
          <w:szCs w:val="32"/>
          <w:lang w:eastAsia="zh-CN"/>
        </w:rPr>
        <w:t>户，新登记注册资本（金）</w:t>
      </w:r>
      <w:r>
        <w:rPr>
          <w:rFonts w:hint="eastAsia" w:ascii="仿宋_GB2312" w:hAnsi="仿宋_GB2312" w:eastAsia="仿宋_GB2312" w:cs="仿宋_GB2312"/>
          <w:color w:val="000000"/>
          <w:sz w:val="32"/>
          <w:szCs w:val="32"/>
          <w:lang w:val="en-US" w:eastAsia="zh-CN"/>
        </w:rPr>
        <w:t>32.03</w:t>
      </w:r>
      <w:r>
        <w:rPr>
          <w:rFonts w:hint="eastAsia" w:ascii="仿宋_GB2312" w:hAnsi="仿宋_GB2312" w:eastAsia="仿宋_GB2312" w:cs="仿宋_GB2312"/>
          <w:color w:val="000000"/>
          <w:sz w:val="32"/>
          <w:szCs w:val="32"/>
          <w:lang w:eastAsia="zh-CN"/>
        </w:rPr>
        <w:t>亿元，同比增长</w:t>
      </w:r>
      <w:r>
        <w:rPr>
          <w:rFonts w:hint="eastAsia" w:ascii="仿宋_GB2312" w:hAnsi="仿宋_GB2312" w:eastAsia="仿宋_GB2312" w:cs="仿宋_GB2312"/>
          <w:color w:val="000000"/>
          <w:sz w:val="32"/>
          <w:szCs w:val="32"/>
          <w:lang w:val="en-US" w:eastAsia="zh-CN"/>
        </w:rPr>
        <w:t>998.52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188.44</w:t>
      </w:r>
      <w:r>
        <w:rPr>
          <w:rFonts w:hint="eastAsia" w:ascii="仿宋_GB2312" w:hAnsi="仿宋_GB2312" w:eastAsia="仿宋_GB2312" w:cs="仿宋_GB2312"/>
          <w:color w:val="000000"/>
          <w:sz w:val="32"/>
          <w:szCs w:val="32"/>
          <w:lang w:eastAsia="zh-CN"/>
        </w:rPr>
        <w:t>%。</w:t>
      </w:r>
    </w:p>
    <w:p w14:paraId="7D574D17">
      <w:pPr>
        <w:numPr>
          <w:ilvl w:val="0"/>
          <w:numId w:val="0"/>
        </w:numPr>
        <w:ind w:firstLine="643" w:firstLineChars="200"/>
        <w:rPr>
          <w:rFonts w:hint="eastAsia" w:ascii="仿宋_GB2312" w:eastAsia="仿宋_GB2312"/>
          <w:sz w:val="32"/>
          <w:szCs w:val="32"/>
          <w:lang w:eastAsia="zh-CN"/>
        </w:rPr>
      </w:pPr>
      <w:r>
        <w:rPr>
          <w:rFonts w:hint="eastAsia" w:ascii="仿宋_GB2312" w:hAnsi="仿宋_GB2312" w:eastAsia="仿宋_GB2312" w:cs="仿宋_GB2312"/>
          <w:b/>
          <w:bCs/>
          <w:color w:val="000000"/>
          <w:sz w:val="32"/>
          <w:szCs w:val="32"/>
          <w:lang w:val="en-US" w:eastAsia="zh-CN"/>
        </w:rPr>
        <w:t>2.产业结构持续优化，第三产业发展趋“好”。</w:t>
      </w:r>
      <w:r>
        <w:rPr>
          <w:rFonts w:hint="eastAsia" w:ascii="仿宋_GB2312" w:hAnsi="仿宋_GB2312" w:eastAsia="仿宋_GB2312" w:cs="仿宋_GB2312"/>
          <w:color w:val="000000"/>
          <w:sz w:val="32"/>
          <w:szCs w:val="32"/>
          <w:lang w:val="en-US" w:eastAsia="zh-CN"/>
        </w:rPr>
        <w:t>2022年一季度末，</w:t>
      </w:r>
      <w:r>
        <w:rPr>
          <w:rFonts w:hint="eastAsia" w:ascii="仿宋_GB2312" w:eastAsia="仿宋_GB2312"/>
          <w:sz w:val="32"/>
          <w:szCs w:val="32"/>
          <w:lang w:val="en-US" w:eastAsia="zh-CN"/>
        </w:rPr>
        <w:t>我县在册</w:t>
      </w:r>
      <w:r>
        <w:rPr>
          <w:rFonts w:hint="eastAsia" w:ascii="仿宋_GB2312" w:hAnsi="仿宋_GB2312" w:eastAsia="仿宋_GB2312" w:cs="仿宋_GB2312"/>
          <w:color w:val="000000"/>
          <w:sz w:val="32"/>
          <w:szCs w:val="32"/>
          <w:lang w:val="en-US" w:eastAsia="zh-CN"/>
        </w:rPr>
        <w:t>第三产业44437户，占总量比85.82%；</w:t>
      </w:r>
      <w:r>
        <w:rPr>
          <w:rFonts w:hint="eastAsia" w:ascii="仿宋_GB2312" w:eastAsia="仿宋_GB2312"/>
          <w:sz w:val="32"/>
          <w:szCs w:val="32"/>
          <w:lang w:val="en-US" w:eastAsia="zh-CN"/>
        </w:rPr>
        <w:t>第二产业市场主体4245户，占总量比8.20 %；第一产业市场主体3100户，占总量比5.98%，呈现“三二一”发展态势。</w:t>
      </w:r>
      <w:r>
        <w:rPr>
          <w:rFonts w:hint="eastAsia" w:ascii="仿宋_GB2312" w:eastAsia="仿宋_GB2312"/>
          <w:sz w:val="32"/>
          <w:szCs w:val="32"/>
          <w:lang w:eastAsia="zh-CN"/>
        </w:rPr>
        <w:t>第三产业在册总量持续走高，增速加快，从侧面反映出县政府近年来推出的培育发展新动能等政策引导，一定程度地激发了我县市场主体经济活力。</w:t>
      </w:r>
    </w:p>
    <w:p w14:paraId="025431FE">
      <w:pPr>
        <w:numPr>
          <w:ilvl w:val="0"/>
          <w:numId w:val="0"/>
        </w:numPr>
        <w:ind w:firstLine="640" w:firstLineChars="200"/>
        <w:rPr>
          <w:rFonts w:hint="eastAsia" w:ascii="仿宋_GB2312" w:eastAsia="仿宋_GB2312"/>
          <w:sz w:val="32"/>
          <w:szCs w:val="32"/>
          <w:lang w:eastAsia="zh-CN"/>
        </w:rPr>
      </w:pPr>
    </w:p>
    <w:p w14:paraId="46283752">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仿宋" w:hAnsi="仿宋" w:eastAsia="仿宋" w:cs="仿宋"/>
          <w:color w:val="000000"/>
          <w:spacing w:val="-4"/>
          <w:sz w:val="24"/>
          <w:szCs w:val="24"/>
          <w:lang w:val="en-US" w:eastAsia="zh-CN"/>
        </w:rPr>
      </w:pPr>
      <w:r>
        <w:rPr>
          <w:rFonts w:hint="eastAsia" w:ascii="仿宋" w:hAnsi="仿宋" w:eastAsia="仿宋" w:cs="仿宋"/>
          <w:color w:val="000000"/>
          <w:spacing w:val="-4"/>
          <w:sz w:val="24"/>
          <w:szCs w:val="24"/>
          <w:lang w:val="en-US" w:eastAsia="zh-CN"/>
        </w:rPr>
        <w:t>图五  2022年第一季度登记市场主体同比增幅位居前5位的行业</w:t>
      </w:r>
    </w:p>
    <w:p w14:paraId="19D59F0B">
      <w:pPr>
        <w:numPr>
          <w:ilvl w:val="0"/>
          <w:numId w:val="0"/>
        </w:numPr>
        <w:ind w:left="0" w:leftChars="0" w:firstLine="0" w:firstLineChars="0"/>
        <w:rPr>
          <w:rFonts w:hint="eastAsia" w:ascii="仿宋_GB2312" w:eastAsia="仿宋_GB2312"/>
          <w:sz w:val="32"/>
          <w:szCs w:val="32"/>
        </w:rPr>
      </w:pPr>
      <w:r>
        <w:rPr>
          <w:rFonts w:hint="eastAsia" w:ascii="仿宋_GB2312" w:eastAsia="仿宋_GB2312"/>
          <w:sz w:val="32"/>
          <w:szCs w:val="32"/>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812B61">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b/>
          <w:bCs/>
          <w:color w:val="000000"/>
          <w:sz w:val="32"/>
          <w:szCs w:val="32"/>
          <w:lang w:val="en-US" w:eastAsia="zh-CN"/>
        </w:rPr>
        <w:t>3.行业结构不够理想，经济发展短板趋“显”。</w:t>
      </w:r>
      <w:r>
        <w:rPr>
          <w:rFonts w:hint="eastAsia" w:ascii="楷体" w:hAnsi="楷体" w:eastAsia="楷体" w:cs="楷体"/>
          <w:b/>
          <w:bCs/>
          <w:color w:val="000000"/>
          <w:sz w:val="32"/>
          <w:szCs w:val="32"/>
          <w:lang w:val="en-US" w:eastAsia="zh-CN"/>
        </w:rPr>
        <w:t>一是</w:t>
      </w:r>
      <w:r>
        <w:rPr>
          <w:rFonts w:hint="eastAsia" w:ascii="楷体" w:hAnsi="楷体" w:eastAsia="楷体" w:cs="楷体"/>
          <w:sz w:val="32"/>
          <w:szCs w:val="32"/>
          <w:lang w:val="en-US" w:eastAsia="zh-CN"/>
        </w:rPr>
        <w:t>市场主体有而不强，结构不优</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eastAsia="zh-CN"/>
        </w:rPr>
        <w:t>我县市场主体总数增长有力，新</w:t>
      </w:r>
      <w:r>
        <w:rPr>
          <w:rFonts w:hint="eastAsia" w:ascii="仿宋_GB2312" w:eastAsia="仿宋_GB2312"/>
          <w:sz w:val="32"/>
          <w:szCs w:val="32"/>
          <w:lang w:eastAsia="zh-CN"/>
        </w:rPr>
        <w:t>增市场主体增幅位居全市前列，但与市内相关县市相比，市场竞争力方面的差距还很明显。</w:t>
      </w:r>
      <w:r>
        <w:rPr>
          <w:rFonts w:hint="eastAsia" w:ascii="仿宋_GB2312" w:eastAsia="仿宋_GB2312"/>
          <w:color w:val="000000"/>
          <w:spacing w:val="-4"/>
          <w:sz w:val="32"/>
          <w:szCs w:val="32"/>
          <w:lang w:eastAsia="zh-CN"/>
        </w:rPr>
        <w:t>从实有和新增两个方面来看，我县企业类数量偏少，</w:t>
      </w:r>
      <w:r>
        <w:rPr>
          <w:rFonts w:hint="eastAsia" w:ascii="仿宋_GB2312" w:eastAsia="仿宋_GB2312"/>
          <w:sz w:val="32"/>
          <w:szCs w:val="32"/>
          <w:lang w:val="en-US" w:eastAsia="zh-CN"/>
        </w:rPr>
        <w:t>个体数量偏大，在当前市场发展竞争中缺乏优势，抵御市场竞争风险能力偏低。</w:t>
      </w:r>
      <w:r>
        <w:rPr>
          <w:rFonts w:hint="eastAsia" w:ascii="楷体" w:hAnsi="楷体" w:eastAsia="楷体" w:cs="楷体"/>
          <w:b/>
          <w:bCs/>
          <w:sz w:val="32"/>
          <w:szCs w:val="32"/>
          <w:lang w:val="en-US" w:eastAsia="zh-CN"/>
        </w:rPr>
        <w:t>二是</w:t>
      </w:r>
      <w:r>
        <w:rPr>
          <w:rFonts w:hint="eastAsia" w:ascii="楷体" w:hAnsi="楷体" w:eastAsia="楷体" w:cs="楷体"/>
          <w:sz w:val="32"/>
          <w:szCs w:val="32"/>
          <w:lang w:val="en-US" w:eastAsia="zh-CN"/>
        </w:rPr>
        <w:t>行业发展不均衡，新兴经济发展不足</w:t>
      </w:r>
      <w:r>
        <w:rPr>
          <w:rFonts w:hint="eastAsia" w:ascii="仿宋_GB2312" w:eastAsia="仿宋_GB2312"/>
          <w:sz w:val="32"/>
          <w:szCs w:val="32"/>
          <w:lang w:val="en-US" w:eastAsia="zh-CN"/>
        </w:rPr>
        <w:t>。一季度末</w:t>
      </w:r>
      <w:r>
        <w:rPr>
          <w:rFonts w:hint="eastAsia" w:ascii="仿宋_GB2312" w:eastAsia="仿宋_GB2312"/>
          <w:color w:val="000000"/>
          <w:sz w:val="32"/>
          <w:szCs w:val="32"/>
          <w:lang w:eastAsia="zh-CN"/>
        </w:rPr>
        <w:t>全县</w:t>
      </w:r>
      <w:r>
        <w:rPr>
          <w:rFonts w:hint="eastAsia" w:ascii="仿宋_GB2312" w:eastAsia="仿宋_GB2312"/>
          <w:color w:val="000000"/>
          <w:sz w:val="32"/>
          <w:szCs w:val="32"/>
          <w:lang w:val="en-US" w:eastAsia="zh-CN"/>
        </w:rPr>
        <w:t>期末实有市场主体</w:t>
      </w:r>
      <w:r>
        <w:rPr>
          <w:rFonts w:hint="eastAsia" w:ascii="仿宋_GB2312" w:eastAsia="仿宋_GB2312"/>
          <w:color w:val="000000"/>
          <w:sz w:val="32"/>
          <w:szCs w:val="32"/>
        </w:rPr>
        <w:t>前6</w:t>
      </w:r>
      <w:r>
        <w:rPr>
          <w:rFonts w:hint="eastAsia" w:ascii="仿宋_GB2312" w:eastAsia="仿宋_GB2312"/>
          <w:color w:val="000000"/>
          <w:sz w:val="32"/>
          <w:szCs w:val="32"/>
          <w:lang w:val="en-US" w:eastAsia="zh-CN"/>
        </w:rPr>
        <w:t>的</w:t>
      </w:r>
      <w:r>
        <w:rPr>
          <w:rFonts w:hint="eastAsia" w:ascii="仿宋_GB2312" w:eastAsia="仿宋_GB2312"/>
          <w:color w:val="000000"/>
          <w:sz w:val="32"/>
          <w:szCs w:val="32"/>
        </w:rPr>
        <w:t>行业为批发和零售业</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住宿和餐饮业</w:t>
      </w:r>
      <w:r>
        <w:rPr>
          <w:rFonts w:hint="eastAsia" w:ascii="仿宋_GB2312" w:eastAsia="仿宋_GB2312"/>
          <w:color w:val="000000"/>
          <w:sz w:val="32"/>
          <w:szCs w:val="32"/>
          <w:lang w:val="en-US" w:eastAsia="zh-CN"/>
        </w:rPr>
        <w:t>，农、林、牧、渔业，居民服务和其他服务业，制造业，建筑业。新兴产业未见“踪影”，在新一轮经济发展和市场竞争中先机未得，后发乏力。充分说明我县市场主体行业分布以传统主导产业为主,新兴行业发展没有实质性突破。</w:t>
      </w:r>
      <w:r>
        <w:rPr>
          <w:rFonts w:hint="eastAsia" w:ascii="仿宋_GB2312" w:eastAsia="仿宋_GB2312"/>
          <w:sz w:val="32"/>
          <w:szCs w:val="32"/>
          <w:lang w:val="en-US" w:eastAsia="zh-CN"/>
        </w:rPr>
        <w:t>企业普遍组织化、规范化、集约化程度不高，整体投入少，以分散经营为主，难以发挥规模经济效应和辐射效应。</w:t>
      </w:r>
      <w:r>
        <w:rPr>
          <w:rFonts w:hint="eastAsia" w:ascii="仿宋_GB2312" w:eastAsia="仿宋_GB2312"/>
          <w:color w:val="000000"/>
          <w:sz w:val="32"/>
          <w:szCs w:val="32"/>
          <w:lang w:val="en-US" w:eastAsia="zh-CN"/>
        </w:rPr>
        <w:t>且</w:t>
      </w:r>
      <w:r>
        <w:rPr>
          <w:rFonts w:hint="eastAsia" w:ascii="仿宋_GB2312" w:eastAsia="仿宋_GB2312"/>
          <w:sz w:val="32"/>
          <w:szCs w:val="32"/>
          <w:lang w:val="en-US" w:eastAsia="zh-CN"/>
        </w:rPr>
        <w:t>中小企业缺乏长远规划，发展定位不够清晰，在产业布局和产能增长上动力不足。</w:t>
      </w:r>
    </w:p>
    <w:p w14:paraId="5C2693B3">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建议与措施</w:t>
      </w:r>
    </w:p>
    <w:p w14:paraId="30B745D3">
      <w:pPr>
        <w:keepNext w:val="0"/>
        <w:keepLines w:val="0"/>
        <w:pageBreakBefore w:val="0"/>
        <w:widowControl w:val="0"/>
        <w:tabs>
          <w:tab w:val="left" w:pos="2520"/>
          <w:tab w:val="left" w:pos="7980"/>
        </w:tabs>
        <w:kinsoku/>
        <w:wordWrap/>
        <w:overflowPunct/>
        <w:topLinePunct w:val="0"/>
        <w:autoSpaceDE/>
        <w:autoSpaceDN/>
        <w:bidi w:val="0"/>
        <w:adjustRightInd/>
        <w:snapToGrid/>
        <w:ind w:firstLine="640" w:firstLineChars="200"/>
        <w:textAlignment w:val="auto"/>
        <w:rPr>
          <w:rFonts w:hint="eastAsia" w:ascii="楷体" w:hAnsi="楷体" w:eastAsia="楷体" w:cs="楷体"/>
          <w:b/>
          <w:bCs/>
          <w:sz w:val="32"/>
          <w:szCs w:val="32"/>
          <w:lang w:val="en-US" w:eastAsia="zh-CN"/>
        </w:rPr>
      </w:pPr>
      <w:r>
        <w:rPr>
          <w:rFonts w:hint="eastAsia" w:ascii="仿宋_GB2312" w:eastAsia="仿宋_GB2312"/>
          <w:sz w:val="32"/>
          <w:szCs w:val="32"/>
          <w:lang w:val="en-US" w:eastAsia="zh-CN"/>
        </w:rPr>
        <w:t>下一步，市场监管局将继续按照国家、省、市、县的新政策、新要求，把持续优化市场化、法治化、国际化营商环境作为服务构建新发展格局的重要着力点，奋力抓好市场主体发展引进、培育、壮大工作，积极主动融入全国统一大市场布局，大力引导发展市场主体“四新经济”</w:t>
      </w:r>
      <w:r>
        <w:rPr>
          <w:rFonts w:hint="eastAsia" w:ascii="仿宋_GB2312" w:hAnsi="Times New Roman" w:eastAsia="仿宋_GB2312" w:cs="Times New Roman"/>
          <w:sz w:val="32"/>
          <w:szCs w:val="32"/>
          <w:lang w:val="en-US" w:eastAsia="zh-CN"/>
        </w:rPr>
        <w:t>（新技术、新产业、新业态、新模式）</w:t>
      </w:r>
      <w:r>
        <w:rPr>
          <w:rFonts w:hint="eastAsia" w:ascii="仿宋_GB2312" w:eastAsia="仿宋_GB2312"/>
          <w:sz w:val="32"/>
          <w:szCs w:val="32"/>
          <w:lang w:val="en-US" w:eastAsia="zh-CN"/>
        </w:rPr>
        <w:t>，进一步激活市场内生动力和提高市场主体参与国内、国际“双循环”的竞争力，把我县的自然禀赋、发展基础转为化新时期发展的后发优势，推动我县经济的高质量发展。</w:t>
      </w:r>
    </w:p>
    <w:p w14:paraId="17DB453C">
      <w:pPr>
        <w:keepNext w:val="0"/>
        <w:keepLines w:val="0"/>
        <w:pageBreakBefore w:val="0"/>
        <w:widowControl w:val="0"/>
        <w:tabs>
          <w:tab w:val="left" w:pos="2520"/>
          <w:tab w:val="left" w:pos="7980"/>
        </w:tabs>
        <w:kinsoku/>
        <w:wordWrap/>
        <w:overflowPunct/>
        <w:topLinePunct w:val="0"/>
        <w:autoSpaceDE/>
        <w:autoSpaceDN/>
        <w:bidi w:val="0"/>
        <w:adjustRightInd/>
        <w:snapToGrid/>
        <w:ind w:firstLine="643" w:firstLineChars="200"/>
        <w:textAlignment w:val="auto"/>
        <w:rPr>
          <w:rFonts w:hint="default" w:ascii="仿宋_GB2312" w:hAnsi="Times New Roman" w:eastAsia="仿宋_GB2312" w:cs="Times New Roman"/>
          <w:sz w:val="32"/>
          <w:szCs w:val="32"/>
          <w:lang w:val="en-US" w:eastAsia="zh-CN"/>
        </w:rPr>
      </w:pPr>
      <w:r>
        <w:rPr>
          <w:rFonts w:hint="eastAsia" w:ascii="楷体" w:hAnsi="楷体" w:eastAsia="楷体" w:cs="楷体"/>
          <w:b/>
          <w:bCs/>
          <w:sz w:val="32"/>
          <w:szCs w:val="32"/>
          <w:lang w:val="en-US" w:eastAsia="zh-CN"/>
        </w:rPr>
        <w:t>（一）全面布局“四新经济”，优化产业结构。</w:t>
      </w:r>
      <w:r>
        <w:rPr>
          <w:rFonts w:hint="eastAsia" w:ascii="仿宋_GB2312" w:hAnsi="Times New Roman" w:eastAsia="仿宋_GB2312" w:cs="Times New Roman"/>
          <w:sz w:val="32"/>
          <w:szCs w:val="32"/>
          <w:lang w:val="en-US" w:eastAsia="zh-CN"/>
        </w:rPr>
        <w:t>进一步解放思想，深刻把握市场经济发展态势。在新一代信息技术革命、新工业革命以及制造业与服务业融合发展的背景下，以现代信息技术广泛嵌入和深化应用为基础，突出以市场需求为根本导向，布局谋划以技术创新、应用创新、模式创新为内核并相互融合的新型经济形态，让第三产业不仅有量的优势，更有质的飞越。一季度，全县本期登记市场主体在行业分布前六位中，科学研究和技术服务业，信息传输、计算机服务和软件业增长分列第1和第2，增长率分别为7871.43%、4433.33%，潜力巨大。我县市场主体在“互联网+”、电子商务、物联网、云计算、等新兴产业中也有一定表现，在制造业中的智能制造、规模定制化生产中也有所展现。进一步发挥这些行业的引领作用，鼓励引导更多市场主体投入到“四新经济”新领域，为我县在新一轮经济发展中获得新的动能，进一步提高市场竞争力。当前，国家正在构建全国统一大市场，我局将以标准引领、维护市场竞争秩序，全方位助力我县市场主体参与其中，进一步增强发展后劲。</w:t>
      </w:r>
    </w:p>
    <w:p w14:paraId="2BE4DE67">
      <w:pPr>
        <w:keepNext w:val="0"/>
        <w:keepLines w:val="0"/>
        <w:pageBreakBefore w:val="0"/>
        <w:widowControl w:val="0"/>
        <w:tabs>
          <w:tab w:val="left" w:pos="2520"/>
          <w:tab w:val="left" w:pos="7980"/>
        </w:tabs>
        <w:kinsoku/>
        <w:wordWrap/>
        <w:overflowPunct/>
        <w:topLinePunct w:val="0"/>
        <w:autoSpaceDE/>
        <w:autoSpaceDN/>
        <w:bidi w:val="0"/>
        <w:adjustRightInd/>
        <w:snapToGrid/>
        <w:ind w:firstLine="643" w:firstLineChars="200"/>
        <w:textAlignment w:val="auto"/>
        <w:rPr>
          <w:rFonts w:hint="eastAsia" w:ascii="仿宋_GB2312" w:eastAsia="仿宋_GB2312"/>
          <w:sz w:val="32"/>
          <w:szCs w:val="32"/>
          <w:lang w:val="en-US" w:eastAsia="zh-CN"/>
        </w:rPr>
      </w:pPr>
      <w:r>
        <w:rPr>
          <w:rFonts w:hint="eastAsia" w:ascii="楷体" w:hAnsi="楷体" w:eastAsia="楷体" w:cs="楷体"/>
          <w:b/>
          <w:bCs/>
          <w:sz w:val="32"/>
          <w:szCs w:val="32"/>
          <w:lang w:val="en-US" w:eastAsia="zh-CN"/>
        </w:rPr>
        <w:t>（二）进一步降低双创门槛，激发市场活力。</w:t>
      </w:r>
      <w:r>
        <w:rPr>
          <w:rFonts w:hint="eastAsia" w:ascii="仿宋_GB2312" w:eastAsia="仿宋_GB2312"/>
          <w:b/>
          <w:bCs/>
          <w:sz w:val="32"/>
          <w:szCs w:val="32"/>
          <w:lang w:eastAsia="zh-CN"/>
        </w:rPr>
        <w:t>一是</w:t>
      </w:r>
      <w:r>
        <w:rPr>
          <w:rFonts w:hint="eastAsia" w:ascii="仿宋_GB2312" w:eastAsia="仿宋_GB2312"/>
          <w:sz w:val="32"/>
          <w:szCs w:val="32"/>
          <w:lang w:val="en-US" w:eastAsia="zh-CN"/>
        </w:rPr>
        <w:t>全面推进“证照分离”“一业一证”改革，对纳入清单管理的经营许可事项，按照直接取消审批、审批改为备案、实行告知承诺和优化审 批服务这四种方式分类推进改革，推动实现涉企经营许可事项“清单之外无审批”“四类方式全覆盖”。</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在“一网通办”的基础上，加大推进“跨域通办”的力度，提高企业开办标准化规范化水平，大力推广电子证照跨层级、跨领域、多场景应用，不断提高企业开办便利化水平。</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推广应用电子营业执照。建设完善以国家市场监管总局为全国统一信任源点的电子营业执照系统，并与湖北政务服务网电子证照库全面对接。依托第三方平台开通手机版电子营业执照服务通道，扩展电子营业执照身份认证、证照共享等功能，推进电子营业执照在电子商务、电子政务领域广泛应用和跨领域互认通用，加快实现“互联网+”环境下“一照走天下”。</w:t>
      </w:r>
    </w:p>
    <w:p w14:paraId="6388F18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lang w:val="en-US" w:eastAsia="zh-CN"/>
        </w:rPr>
      </w:pPr>
      <w:r>
        <w:rPr>
          <w:rFonts w:hint="eastAsia" w:ascii="楷体" w:hAnsi="楷体" w:eastAsia="楷体" w:cs="楷体"/>
          <w:b/>
          <w:bCs/>
          <w:sz w:val="32"/>
          <w:szCs w:val="32"/>
          <w:lang w:val="en-US" w:eastAsia="zh-CN"/>
        </w:rPr>
        <w:t>（三）进一步优化政务服务，提升服务效力。</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全面推行“马上办、网上办、就近办、一次办”。以企业和群众办好“一件事”为标准，梳理发布商事登记和审批“马上办、网上办、就近办、一次办”事项清单，构建完善“最多跑一次”服务机制，探索登记办照智能审批机制，用最短的时间、最快的速度，把服务企业和群众的事项办理好。</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深入推进商事登记和审批服务标准化，按照减环节、减材料、减时限的要求，逐项编制标准化工作规程和办事指南，推行一次告知、一表申请，提升商事服务效能。全面实行市场主体准入负面清单管理，建立公开透明、预期稳定的市场准入规则。</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大力弘扬“有呼必应、无事不扰”的“店小二”精神，着力推行政务服务“好差评”考评标准，着力打造市、区、镇、村四级政务服务标准化体系升级版，使政务服务有制可依、有制可守、有制可循、有制可察，进一步提升群众感受。</w:t>
      </w:r>
    </w:p>
    <w:p w14:paraId="0A8C7F19">
      <w:pPr>
        <w:ind w:firstLine="643" w:firstLineChars="200"/>
        <w:rPr>
          <w:rFonts w:hint="eastAsia" w:ascii="仿宋_GB2312" w:eastAsia="仿宋_GB2312"/>
          <w:sz w:val="32"/>
          <w:szCs w:val="32"/>
        </w:rPr>
      </w:pPr>
      <w:r>
        <w:rPr>
          <w:rFonts w:hint="eastAsia" w:ascii="楷体" w:hAnsi="楷体" w:eastAsia="楷体" w:cs="楷体"/>
          <w:b/>
          <w:bCs/>
          <w:sz w:val="32"/>
          <w:szCs w:val="32"/>
          <w:lang w:val="en-US" w:eastAsia="zh-CN"/>
        </w:rPr>
        <w:t>（四）进一步深化改革力度，挖掘发展潜力。</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深入实施企业住所申报制，允许“一址多照”，同一个场所可以作为多个市场主体的住所（经营场所）登记。允许“一照多址”市场主体只能登记一处住所，可以登记多处经营场所。凡能有效划分区间的同一地址，可以登记为多家市场主体的住所或经营场所。国家对特定行业市场主体住所或经营场所有明确限制规定的，从其规定。二</w:t>
      </w:r>
      <w:r>
        <w:rPr>
          <w:rFonts w:hint="eastAsia" w:ascii="仿宋_GB2312" w:eastAsia="仿宋_GB2312"/>
          <w:b/>
          <w:bCs/>
          <w:sz w:val="32"/>
          <w:szCs w:val="32"/>
          <w:lang w:val="en-US" w:eastAsia="zh-CN"/>
        </w:rPr>
        <w:t>是</w:t>
      </w:r>
      <w:r>
        <w:rPr>
          <w:rFonts w:hint="eastAsia" w:ascii="仿宋_GB2312" w:eastAsia="仿宋_GB2312"/>
          <w:sz w:val="32"/>
          <w:szCs w:val="32"/>
          <w:lang w:val="en-US" w:eastAsia="zh-CN"/>
        </w:rPr>
        <w:t>建立完善市场主体退出机制。加快推进简易注销登记改革，简化企业、个体工商户注销流程，探索非上市股份有限公司、有限责任公司分支机构等企业类型简易注销，支持未开业企业、无债权债务企业通过简易注销便利退出市场。建立容错机制，对于被终止简易注销登记的企业，允许其符合条件后再次依程序申请简易注销。探索建立对提供虚假住所等失联企业、冒用他人身份证虚假注册等违法失信企业的强制退出制度。</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大力支持各类众创空间、电子商务、现代物流、高新技术、高型农业等新业态发展，加快推进科技加速器、企业孵化器、创新平台和创业园区建设，实施科技创新性龙头企业培育和中小微企业成长工程，加快培育品牌化、专业化、规范化小微市场主体，提升整体存活率和竞争力。</w:t>
      </w:r>
      <w:r>
        <w:rPr>
          <w:rFonts w:hint="eastAsia" w:ascii="仿宋_GB2312" w:eastAsia="仿宋_GB2312"/>
          <w:b/>
          <w:bCs/>
          <w:sz w:val="32"/>
          <w:szCs w:val="32"/>
          <w:lang w:val="en-US" w:eastAsia="zh-CN"/>
        </w:rPr>
        <w:t>四是</w:t>
      </w:r>
      <w:r>
        <w:rPr>
          <w:rFonts w:hint="eastAsia" w:ascii="仿宋_GB2312" w:eastAsia="仿宋_GB2312"/>
          <w:sz w:val="32"/>
          <w:szCs w:val="32"/>
          <w:lang w:val="en-US" w:eastAsia="zh-CN"/>
        </w:rPr>
        <w:t>充分运用登记职能，为小微企业发展提供政策指导，着力帮助小微企业解决发展中面临的问题，建立和完善产业导向机制，引导投资者资金流向相关重点领域和行业，促使产业机构进一步优化。</w:t>
      </w:r>
      <w:r>
        <w:rPr>
          <w:rFonts w:hint="eastAsia" w:ascii="仿宋_GB2312" w:eastAsia="仿宋_GB2312"/>
          <w:b/>
          <w:bCs/>
          <w:sz w:val="32"/>
          <w:szCs w:val="32"/>
          <w:lang w:val="en-US" w:eastAsia="zh-CN"/>
        </w:rPr>
        <w:t>五是</w:t>
      </w:r>
      <w:r>
        <w:rPr>
          <w:rFonts w:hint="eastAsia" w:ascii="仿宋_GB2312" w:hAnsi="仿宋" w:eastAsia="仿宋_GB2312"/>
          <w:bCs/>
          <w:sz w:val="32"/>
          <w:szCs w:val="32"/>
        </w:rPr>
        <w:t>进一步加强</w:t>
      </w:r>
      <w:r>
        <w:rPr>
          <w:rFonts w:hint="eastAsia" w:ascii="仿宋_GB2312" w:hAnsi="仿宋" w:eastAsia="仿宋_GB2312"/>
          <w:bCs/>
          <w:sz w:val="32"/>
          <w:szCs w:val="32"/>
          <w:lang w:eastAsia="zh-CN"/>
        </w:rPr>
        <w:t>与县直各</w:t>
      </w:r>
      <w:r>
        <w:rPr>
          <w:rFonts w:hint="eastAsia" w:ascii="仿宋_GB2312" w:hAnsi="仿宋" w:eastAsia="仿宋_GB2312"/>
          <w:bCs/>
          <w:sz w:val="32"/>
          <w:szCs w:val="32"/>
        </w:rPr>
        <w:t>职能部门</w:t>
      </w:r>
      <w:r>
        <w:rPr>
          <w:rFonts w:hint="eastAsia" w:ascii="仿宋_GB2312" w:hAnsi="仿宋" w:eastAsia="仿宋_GB2312"/>
          <w:bCs/>
          <w:sz w:val="32"/>
          <w:szCs w:val="32"/>
          <w:lang w:eastAsia="zh-CN"/>
        </w:rPr>
        <w:t>的协同配合，加大</w:t>
      </w:r>
      <w:r>
        <w:rPr>
          <w:rFonts w:hint="eastAsia" w:ascii="仿宋_GB2312" w:hAnsi="仿宋" w:eastAsia="仿宋_GB2312"/>
          <w:bCs/>
          <w:sz w:val="32"/>
          <w:szCs w:val="32"/>
        </w:rPr>
        <w:t>指导服务力度，引导市场主体调整产业结构，向多元化方向发展。同时发挥传统产业和新型产业融合速度，加快产业结构调整步伐。发挥好大企业、大项目的龙头带动作用，</w:t>
      </w:r>
      <w:r>
        <w:rPr>
          <w:rFonts w:hint="eastAsia" w:ascii="仿宋_GB2312" w:eastAsia="仿宋_GB2312"/>
          <w:sz w:val="32"/>
          <w:szCs w:val="32"/>
        </w:rPr>
        <w:t>深入推进商事登记制度改革，进一步激发市场活力和创造力。</w:t>
      </w:r>
    </w:p>
    <w:p w14:paraId="422F7233">
      <w:pPr>
        <w:ind w:firstLine="643" w:firstLineChars="200"/>
        <w:rPr>
          <w:rFonts w:hint="eastAsia" w:ascii="仿宋_GB2312" w:hAnsi="仿宋" w:eastAsia="仿宋_GB2312"/>
          <w:bCs/>
          <w:sz w:val="32"/>
          <w:szCs w:val="32"/>
          <w:lang w:eastAsia="zh-CN"/>
        </w:rPr>
      </w:pPr>
      <w:r>
        <w:rPr>
          <w:rFonts w:hint="eastAsia" w:ascii="楷体" w:hAnsi="楷体" w:eastAsia="楷体" w:cs="楷体"/>
          <w:b/>
          <w:bCs/>
          <w:sz w:val="32"/>
          <w:szCs w:val="32"/>
          <w:lang w:val="en-US" w:eastAsia="zh-CN"/>
        </w:rPr>
        <w:t>（五）进一步加快留才力度，注入转型动力</w:t>
      </w:r>
      <w:r>
        <w:rPr>
          <w:rFonts w:hint="eastAsia" w:ascii="仿宋_GB2312" w:hAnsi="仿宋" w:eastAsia="仿宋_GB2312"/>
          <w:bCs/>
          <w:sz w:val="32"/>
          <w:szCs w:val="32"/>
          <w:lang w:eastAsia="zh-CN"/>
        </w:rPr>
        <w:t>。地方经济社会的发展，离不开人才的有力支撑。近年来我县在引才上力度空前，人才带来的带动作用显著。越来越多的人才到崇阳来工作，说明崇阳发展环境变好了。下一步我们在调研的基础上根据产业布局进一步加大引才力度，同时要千方百计完善留才配套政策。企业发展关键在于技术，在于人才，产业间的良性发展需要人才的支撑力量，经济转型人才是源头活水。一人来，众人来，人才越来越多，企业发展越来越好，地方经济社会就有了无穷动力。</w:t>
      </w:r>
    </w:p>
    <w:p w14:paraId="30086EE2">
      <w:pPr>
        <w:ind w:firstLine="640" w:firstLineChars="200"/>
        <w:rPr>
          <w:rFonts w:hint="eastAsia" w:ascii="仿宋_GB2312" w:hAnsi="仿宋" w:eastAsia="仿宋_GB2312"/>
          <w:bCs/>
          <w:sz w:val="32"/>
          <w:szCs w:val="32"/>
          <w:lang w:eastAsia="zh-CN"/>
        </w:rPr>
      </w:pPr>
    </w:p>
    <w:p w14:paraId="688BA726">
      <w:pPr>
        <w:ind w:firstLine="640" w:firstLineChars="200"/>
        <w:rPr>
          <w:rFonts w:hint="eastAsia" w:ascii="仿宋_GB2312" w:hAnsi="仿宋" w:eastAsia="仿宋_GB2312"/>
          <w:bCs/>
          <w:sz w:val="32"/>
          <w:szCs w:val="32"/>
          <w:lang w:eastAsia="zh-CN"/>
        </w:rPr>
      </w:pPr>
    </w:p>
    <w:p w14:paraId="5EDFA2A3">
      <w:pPr>
        <w:ind w:firstLine="640" w:firstLineChars="200"/>
        <w:jc w:val="right"/>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 xml:space="preserve">                 崇阳县市场监督管理局 </w:t>
      </w:r>
    </w:p>
    <w:p w14:paraId="5AE6579E">
      <w:pPr>
        <w:ind w:firstLine="640" w:firstLineChars="200"/>
        <w:jc w:val="center"/>
        <w:rPr>
          <w:rFonts w:hint="default" w:ascii="仿宋_GB2312" w:hAnsi="仿宋" w:eastAsia="仿宋_GB2312"/>
          <w:bCs/>
          <w:sz w:val="32"/>
          <w:szCs w:val="32"/>
          <w:lang w:val="en-US" w:eastAsia="zh-CN"/>
        </w:rPr>
      </w:pPr>
      <w:r>
        <w:rPr>
          <w:rFonts w:hint="eastAsia" w:ascii="仿宋_GB2312" w:hAnsi="仿宋" w:eastAsia="仿宋_GB2312"/>
          <w:bCs/>
          <w:sz w:val="32"/>
          <w:szCs w:val="32"/>
          <w:lang w:val="en-US" w:eastAsia="zh-CN"/>
        </w:rPr>
        <w:t xml:space="preserve">                              2022年5月11日</w:t>
      </w:r>
    </w:p>
    <w:p w14:paraId="6EAB685C">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仿宋_GB2312" w:eastAsia="仿宋_GB2312"/>
          <w:color w:val="000000"/>
          <w:sz w:val="32"/>
          <w:szCs w:val="32"/>
          <w:lang w:val="en-US" w:eastAsia="zh-CN"/>
        </w:rPr>
      </w:pPr>
    </w:p>
    <w:p w14:paraId="1D332C82">
      <w:pPr>
        <w:ind w:left="0" w:leftChars="0" w:right="-92" w:rightChars="-44" w:firstLine="0" w:firstLineChars="0"/>
        <w:jc w:val="left"/>
        <w:rPr>
          <w:rFonts w:hint="eastAsia" w:ascii="仿宋_GB2312" w:eastAsia="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5CD470-AF05-4EFE-BB26-29611B6316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C009ACE-5250-4B51-A8AE-3BCFDE874D4C}"/>
  </w:font>
  <w:font w:name="方正小标宋简体">
    <w:panose1 w:val="02000000000000000000"/>
    <w:charset w:val="86"/>
    <w:family w:val="auto"/>
    <w:pitch w:val="default"/>
    <w:sig w:usb0="00000001" w:usb1="08000000" w:usb2="00000000" w:usb3="00000000" w:csb0="00040000" w:csb1="00000000"/>
    <w:embedRegular r:id="rId3" w:fontKey="{E2124134-C1FB-4E88-9C0B-3B05C4F97690}"/>
  </w:font>
  <w:font w:name="楷体_GB2312">
    <w:panose1 w:val="02010609030101010101"/>
    <w:charset w:val="86"/>
    <w:family w:val="modern"/>
    <w:pitch w:val="default"/>
    <w:sig w:usb0="00000001" w:usb1="080E0000" w:usb2="00000000" w:usb3="00000000" w:csb0="00040000" w:csb1="00000000"/>
    <w:embedRegular r:id="rId4" w:fontKey="{F92471E9-5019-425A-AC3E-83517993833C}"/>
  </w:font>
  <w:font w:name="仿宋">
    <w:panose1 w:val="02010609060101010101"/>
    <w:charset w:val="86"/>
    <w:family w:val="auto"/>
    <w:pitch w:val="default"/>
    <w:sig w:usb0="800002BF" w:usb1="38CF7CFA" w:usb2="00000016" w:usb3="00000000" w:csb0="00040001" w:csb1="00000000"/>
    <w:embedRegular r:id="rId5" w:fontKey="{9AB670FA-0901-44DB-9D54-4A0868892F49}"/>
  </w:font>
  <w:font w:name="仿宋_GB2312">
    <w:panose1 w:val="02010609030101010101"/>
    <w:charset w:val="86"/>
    <w:family w:val="modern"/>
    <w:pitch w:val="default"/>
    <w:sig w:usb0="00000001" w:usb1="080E0000" w:usb2="00000000" w:usb3="00000000" w:csb0="00040000" w:csb1="00000000"/>
    <w:embedRegular r:id="rId6" w:fontKey="{94B4E494-49FA-421C-A36B-7BDC8CFE658F}"/>
  </w:font>
  <w:font w:name="楷体">
    <w:panose1 w:val="02010609060101010101"/>
    <w:charset w:val="86"/>
    <w:family w:val="auto"/>
    <w:pitch w:val="default"/>
    <w:sig w:usb0="800002BF" w:usb1="38CF7CFA" w:usb2="00000016" w:usb3="00000000" w:csb0="00040001" w:csb1="00000000"/>
    <w:embedRegular r:id="rId7" w:fontKey="{F4273F39-373E-4E86-B667-12275C8401C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NWYwNTA5MWI0YjQ4YzExYjY1Y2E1ZGYyMjJjZjkifQ=="/>
  </w:docVars>
  <w:rsids>
    <w:rsidRoot w:val="17DF5E77"/>
    <w:rsid w:val="0BA92DF2"/>
    <w:rsid w:val="10D966D5"/>
    <w:rsid w:val="17DF5E77"/>
    <w:rsid w:val="264815F2"/>
    <w:rsid w:val="29360622"/>
    <w:rsid w:val="2B0229E9"/>
    <w:rsid w:val="340D547B"/>
    <w:rsid w:val="5ABA7D6B"/>
    <w:rsid w:val="602411D8"/>
    <w:rsid w:val="635962F0"/>
    <w:rsid w:val="64964221"/>
    <w:rsid w:val="651E35B9"/>
    <w:rsid w:val="69C02956"/>
    <w:rsid w:val="6B71401C"/>
    <w:rsid w:val="6F800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rPr sz="1200">
                <a:solidFill>
                  <a:schemeClr val="tx1">
                    <a:lumMod val="65000"/>
                    <a:lumOff val="35000"/>
                  </a:schemeClr>
                </a:solidFill>
                <a:uFillTx/>
              </a:rPr>
              <a:t>期末实有市场主体分布图</a:t>
            </a:r>
            <a:endParaRPr sz="1200">
              <a:solidFill>
                <a:schemeClr val="tx1">
                  <a:lumMod val="65000"/>
                  <a:lumOff val="35000"/>
                </a:schemeClr>
              </a:solidFill>
              <a:uFillTx/>
            </a:endParaRPr>
          </a:p>
          <a:p>
            <a:pPr defTabSz="914400">
              <a:defRPr lang="zh-CN" sz="1600" b="1" i="0" u="none" strike="noStrike" kern="1200" baseline="0">
                <a:solidFill>
                  <a:schemeClr val="tx1">
                    <a:lumMod val="65000"/>
                    <a:lumOff val="35000"/>
                  </a:schemeClr>
                </a:solidFill>
                <a:latin typeface="+mn-lt"/>
                <a:ea typeface="+mn-ea"/>
                <a:cs typeface="+mn-cs"/>
              </a:defRPr>
            </a:pPr>
            <a:r>
              <a:rPr lang="en-US" altLang="zh-CN" sz="1200">
                <a:solidFill>
                  <a:schemeClr val="tx1">
                    <a:lumMod val="65000"/>
                    <a:lumOff val="35000"/>
                  </a:schemeClr>
                </a:solidFill>
                <a:uFillTx/>
              </a:rPr>
              <a:t>                        --</a:t>
            </a:r>
            <a:r>
              <a:rPr altLang="zh-CN" sz="1200" u="heavy">
                <a:solidFill>
                  <a:schemeClr val="tx1">
                    <a:lumMod val="65000"/>
                    <a:lumOff val="35000"/>
                  </a:schemeClr>
                </a:solidFill>
                <a:uFillTx/>
              </a:rPr>
              <a:t>企业属性</a:t>
            </a:r>
            <a:endParaRPr lang="en-US" altLang="zh-CN" sz="1200">
              <a:solidFill>
                <a:schemeClr val="tx1">
                  <a:lumMod val="65000"/>
                  <a:lumOff val="35000"/>
                </a:schemeClr>
              </a:solidFill>
              <a:uFillTx/>
            </a:endParaRPr>
          </a:p>
        </c:rich>
      </c:tx>
      <c:layout>
        <c:manualLayout>
          <c:xMode val="edge"/>
          <c:yMode val="edge"/>
          <c:x val="0.152137332619913"/>
          <c:y val="0.0484806191989872"/>
        </c:manualLayout>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tx>
            <c:strRef>
              <c:f>Sheet1!$B$1</c:f>
              <c:strCache>
                <c:ptCount val="1"/>
                <c:pt idx="0">
                  <c:v>期末实有市场主体分布图</c:v>
                </c:pt>
              </c:strCache>
            </c:strRef>
          </c:tx>
          <c:spPr>
            <a:solidFill>
              <a:schemeClr val="accent2">
                <a:lumMod val="40000"/>
                <a:lumOff val="60000"/>
              </a:schemeClr>
            </a:solidFill>
          </c:spPr>
          <c:explosion val="0"/>
          <c:dPt>
            <c:idx val="0"/>
            <c:bubble3D val="0"/>
            <c:spPr>
              <a:solidFill>
                <a:schemeClr val="accent2">
                  <a:lumMod val="40000"/>
                  <a:lumOff val="60000"/>
                </a:schemeClr>
              </a:solidFill>
              <a:ln>
                <a:noFill/>
              </a:ln>
              <a:effectLst>
                <a:outerShdw blurRad="57150" dist="19050" dir="5400000" algn="ctr" rotWithShape="0">
                  <a:srgbClr val="000000">
                    <a:alpha val="63000"/>
                  </a:srgbClr>
                </a:outerShdw>
              </a:effectLst>
            </c:spPr>
          </c:dPt>
          <c:dPt>
            <c:idx val="1"/>
            <c:bubble3D val="0"/>
            <c:spPr>
              <a:solidFill>
                <a:schemeClr val="accent4">
                  <a:lumMod val="40000"/>
                  <a:lumOff val="60000"/>
                </a:schemeClr>
              </a:solidFill>
              <a:ln>
                <a:noFill/>
              </a:ln>
              <a:effectLst>
                <a:outerShdw blurRad="57150" dist="19050" dir="5400000" algn="ctr" rotWithShape="0">
                  <a:srgbClr val="000000">
                    <a:alpha val="63000"/>
                  </a:srgbClr>
                </a:outerShdw>
              </a:effectLst>
            </c:spPr>
          </c:dPt>
          <c:dPt>
            <c:idx val="2"/>
            <c:bubble3D val="0"/>
            <c:spPr>
              <a:solidFill>
                <a:schemeClr val="accent5">
                  <a:lumMod val="40000"/>
                  <a:lumOff val="60000"/>
                </a:schemeClr>
              </a:solidFill>
              <a:ln>
                <a:noFill/>
              </a:ln>
              <a:effectLst>
                <a:outerShdw blurRad="57150" dist="19050" dir="5400000" algn="ctr" rotWithShape="0">
                  <a:srgbClr val="000000">
                    <a:alpha val="63000"/>
                  </a:srgbClr>
                </a:outerShdw>
              </a:effectLst>
            </c:spPr>
          </c:dPt>
          <c:dPt>
            <c:idx val="3"/>
            <c:bubble3D val="0"/>
            <c:spPr>
              <a:solidFill>
                <a:schemeClr val="accent3">
                  <a:lumMod val="40000"/>
                  <a:lumOff val="60000"/>
                </a:schemeClr>
              </a:solidFill>
              <a:ln>
                <a:noFill/>
              </a:ln>
              <a:effectLst>
                <a:outerShdw blurRad="57150" dist="19050" dir="5400000" algn="ctr" rotWithShape="0">
                  <a:srgbClr val="000000">
                    <a:alpha val="63000"/>
                  </a:srgbClr>
                </a:outerShdw>
              </a:effectLst>
            </c:spPr>
          </c:dPt>
          <c:dLbls>
            <c:dLbl>
              <c:idx val="0"/>
              <c:layout>
                <c:manualLayout>
                  <c:x val="-0.000195609411817789"/>
                  <c:y val="-0.03487975150387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19051215751441"/>
                  <c:y val="0.027317183334311"/>
                </c:manualLayout>
              </c:layout>
              <c:dLblPos val="bestFit"/>
              <c:showLegendKey val="0"/>
              <c:showVal val="1"/>
              <c:showCatName val="0"/>
              <c:showSerName val="0"/>
              <c:showPercent val="1"/>
              <c:showBubbleSize val="0"/>
              <c:extLst>
                <c:ext xmlns:c15="http://schemas.microsoft.com/office/drawing/2012/chart" uri="{CE6537A1-D6FC-4f65-9D91-7224C49458BB}">
                  <c15:layout>
                    <c:manualLayout>
                      <c:w val="0.231334149326805"/>
                      <c:h val="0.0909325755618703"/>
                    </c:manualLayout>
                  </c15:layout>
                </c:ext>
              </c:extLst>
            </c:dLbl>
            <c:dLbl>
              <c:idx val="2"/>
              <c:layout>
                <c:manualLayout>
                  <c:x val="-0.265750461186922"/>
                  <c:y val="-0.172799108735456"/>
                </c:manualLayout>
              </c:layout>
              <c:dLblPos val="bestFit"/>
              <c:showLegendKey val="0"/>
              <c:showVal val="1"/>
              <c:showCatName val="0"/>
              <c:showSerName val="0"/>
              <c:showPercent val="1"/>
              <c:showBubbleSize val="0"/>
              <c:extLst>
                <c:ext xmlns:c15="http://schemas.microsoft.com/office/drawing/2012/chart" uri="{CE6537A1-D6FC-4f65-9D91-7224C49458BB}">
                  <c15:layout>
                    <c:manualLayout>
                      <c:w val="0.24577723378213"/>
                      <c:h val="0.0849909584086799"/>
                    </c:manualLayout>
                  </c15:layout>
                </c:ext>
              </c:extLst>
            </c:dLbl>
            <c:dLbl>
              <c:idx val="3"/>
              <c:layout>
                <c:manualLayout>
                  <c:x val="-0.157826086508352"/>
                  <c:y val="0.0035512261307363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内资企业</c:v>
                </c:pt>
                <c:pt idx="1">
                  <c:v>私营企业</c:v>
                </c:pt>
                <c:pt idx="2">
                  <c:v>个体工商户</c:v>
                </c:pt>
                <c:pt idx="3">
                  <c:v>农民专业合作社</c:v>
                </c:pt>
              </c:strCache>
            </c:strRef>
          </c:cat>
          <c:val>
            <c:numRef>
              <c:f>Sheet1!$B$2:$B$5</c:f>
              <c:numCache>
                <c:formatCode>General</c:formatCode>
                <c:ptCount val="4"/>
                <c:pt idx="0">
                  <c:v>329</c:v>
                </c:pt>
                <c:pt idx="1">
                  <c:v>6616</c:v>
                </c:pt>
                <c:pt idx="2">
                  <c:v>43433</c:v>
                </c:pt>
                <c:pt idx="3">
                  <c:v>1404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84bd136-d0c3-4102-bcb2-15a0f2e3417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rPr sz="1200">
                <a:solidFill>
                  <a:schemeClr val="tx1">
                    <a:lumMod val="65000"/>
                    <a:lumOff val="35000"/>
                  </a:schemeClr>
                </a:solidFill>
                <a:uFillTx/>
              </a:rPr>
              <a:t>期末实有市场主体分布图</a:t>
            </a:r>
            <a:endParaRPr sz="1200">
              <a:solidFill>
                <a:schemeClr val="tx1">
                  <a:lumMod val="65000"/>
                  <a:lumOff val="35000"/>
                </a:schemeClr>
              </a:solidFill>
              <a:uFillTx/>
            </a:endParaRPr>
          </a:p>
          <a:p>
            <a:pPr defTabSz="914400">
              <a:defRPr lang="zh-CN" sz="1600" b="1" i="0" u="none" strike="noStrike" kern="1200" baseline="0">
                <a:solidFill>
                  <a:schemeClr val="tx1">
                    <a:lumMod val="65000"/>
                    <a:lumOff val="35000"/>
                  </a:schemeClr>
                </a:solidFill>
                <a:latin typeface="+mn-lt"/>
                <a:ea typeface="+mn-ea"/>
                <a:cs typeface="+mn-cs"/>
              </a:defRPr>
            </a:pPr>
            <a:r>
              <a:rPr lang="en-US" altLang="zh-CN" sz="1200">
                <a:solidFill>
                  <a:schemeClr val="tx1">
                    <a:lumMod val="65000"/>
                    <a:lumOff val="35000"/>
                  </a:schemeClr>
                </a:solidFill>
                <a:uFillTx/>
              </a:rPr>
              <a:t>                      --</a:t>
            </a:r>
            <a:r>
              <a:rPr altLang="en-US" sz="1200">
                <a:solidFill>
                  <a:schemeClr val="tx1">
                    <a:lumMod val="65000"/>
                    <a:lumOff val="35000"/>
                  </a:schemeClr>
                </a:solidFill>
                <a:uFillTx/>
              </a:rPr>
              <a:t>产业类型</a:t>
            </a:r>
            <a:endParaRPr lang="en-US" altLang="zh-CN" sz="1200">
              <a:solidFill>
                <a:schemeClr val="tx1">
                  <a:lumMod val="65000"/>
                  <a:lumOff val="35000"/>
                </a:schemeClr>
              </a:solidFill>
              <a:uFillTx/>
            </a:endParaRPr>
          </a:p>
        </c:rich>
      </c:tx>
      <c:layout>
        <c:manualLayout>
          <c:xMode val="edge"/>
          <c:yMode val="edge"/>
          <c:x val="0.170497185741088"/>
          <c:y val="0.0407306837817823"/>
        </c:manualLayout>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tx>
            <c:strRef>
              <c:f>Sheet1!$B$1</c:f>
              <c:strCache>
                <c:ptCount val="1"/>
                <c:pt idx="0">
                  <c:v>期末实有市场主体分布图
--按产业类型</c:v>
                </c:pt>
              </c:strCache>
            </c:strRef>
          </c:tx>
          <c:spPr>
            <a:solidFill>
              <a:schemeClr val="accent2">
                <a:lumMod val="60000"/>
                <a:lumOff val="40000"/>
              </a:schemeClr>
            </a:solidFill>
          </c:spPr>
          <c:explosion val="0"/>
          <c:dPt>
            <c:idx val="0"/>
            <c:bubble3D val="0"/>
            <c:spPr>
              <a:solidFill>
                <a:schemeClr val="accent2">
                  <a:lumMod val="40000"/>
                  <a:lumOff val="60000"/>
                </a:schemeClr>
              </a:solidFill>
              <a:ln>
                <a:noFill/>
              </a:ln>
              <a:effectLst>
                <a:outerShdw blurRad="57150" dist="19050" dir="5400000" algn="ctr" rotWithShape="0">
                  <a:srgbClr val="000000">
                    <a:alpha val="63000"/>
                  </a:srgbClr>
                </a:outerShdw>
              </a:effectLst>
            </c:spPr>
          </c:dPt>
          <c:dPt>
            <c:idx val="1"/>
            <c:bubble3D val="0"/>
            <c:spPr>
              <a:solidFill>
                <a:schemeClr val="accent6">
                  <a:lumMod val="60000"/>
                  <a:lumOff val="40000"/>
                </a:schemeClr>
              </a:solidFill>
              <a:ln>
                <a:noFill/>
              </a:ln>
              <a:effectLst>
                <a:outerShdw blurRad="57150" dist="19050" dir="5400000" algn="ctr" rotWithShape="0">
                  <a:srgbClr val="000000">
                    <a:alpha val="63000"/>
                  </a:srgbClr>
                </a:outerShdw>
              </a:effectLst>
            </c:spPr>
          </c:dPt>
          <c:dPt>
            <c:idx val="2"/>
            <c:bubble3D val="0"/>
            <c:spPr>
              <a:solidFill>
                <a:schemeClr val="accent5">
                  <a:lumMod val="60000"/>
                  <a:lumOff val="40000"/>
                </a:schemeClr>
              </a:solidFill>
              <a:ln>
                <a:noFill/>
              </a:ln>
              <a:effectLst>
                <a:outerShdw blurRad="57150" dist="19050" dir="5400000" algn="ctr" rotWithShape="0">
                  <a:srgbClr val="000000">
                    <a:alpha val="63000"/>
                  </a:srgbClr>
                </a:outerShdw>
              </a:effectLst>
            </c:spPr>
          </c:dPt>
          <c:dLbls>
            <c:dLbl>
              <c:idx val="0"/>
              <c:layout>
                <c:manualLayout>
                  <c:x val="-0.000195609411817789"/>
                  <c:y val="-0.03487975150387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19051215751441"/>
                  <c:y val="0.027317183334311"/>
                </c:manualLayout>
              </c:layout>
              <c:dLblPos val="bestFit"/>
              <c:showLegendKey val="0"/>
              <c:showVal val="1"/>
              <c:showCatName val="0"/>
              <c:showSerName val="0"/>
              <c:showPercent val="1"/>
              <c:showBubbleSize val="0"/>
              <c:extLst>
                <c:ext xmlns:c15="http://schemas.microsoft.com/office/drawing/2012/chart" uri="{CE6537A1-D6FC-4f65-9D91-7224C49458BB}">
                  <c15:layout>
                    <c:manualLayout>
                      <c:w val="0.231334149326805"/>
                      <c:h val="0.0909325755618703"/>
                    </c:manualLayout>
                  </c15:layout>
                </c:ext>
              </c:extLst>
            </c:dLbl>
            <c:dLbl>
              <c:idx val="2"/>
              <c:layout>
                <c:manualLayout>
                  <c:x val="-0.265750461186922"/>
                  <c:y val="-0.172799108735456"/>
                </c:manualLayout>
              </c:layout>
              <c:dLblPos val="bestFit"/>
              <c:showLegendKey val="0"/>
              <c:showVal val="1"/>
              <c:showCatName val="0"/>
              <c:showSerName val="0"/>
              <c:showPercent val="1"/>
              <c:showBubbleSize val="0"/>
              <c:extLst>
                <c:ext xmlns:c15="http://schemas.microsoft.com/office/drawing/2012/chart" uri="{CE6537A1-D6FC-4f65-9D91-7224C49458BB}">
                  <c15:layout>
                    <c:manualLayout>
                      <c:w val="0.24577723378213"/>
                      <c:h val="0.0849909584086799"/>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第一产业</c:v>
                </c:pt>
                <c:pt idx="1">
                  <c:v>第二产业</c:v>
                </c:pt>
                <c:pt idx="2">
                  <c:v>第三产业</c:v>
                </c:pt>
              </c:strCache>
            </c:strRef>
          </c:cat>
          <c:val>
            <c:numRef>
              <c:f>Sheet1!$B$2:$B$4</c:f>
              <c:numCache>
                <c:formatCode>General</c:formatCode>
                <c:ptCount val="3"/>
                <c:pt idx="0">
                  <c:v>3100</c:v>
                </c:pt>
                <c:pt idx="1">
                  <c:v>4245</c:v>
                </c:pt>
                <c:pt idx="2">
                  <c:v>44437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12fc82d-4d4f-4b0c-9aff-449f377738d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rPr lang="en-US" altLang="zh-CN" sz="1200">
                <a:solidFill>
                  <a:schemeClr val="tx1">
                    <a:lumMod val="65000"/>
                    <a:lumOff val="35000"/>
                  </a:schemeClr>
                </a:solidFill>
                <a:uFillTx/>
              </a:rPr>
              <a:t>2022</a:t>
            </a:r>
            <a:r>
              <a:rPr altLang="en-US" sz="1200">
                <a:solidFill>
                  <a:schemeClr val="tx1">
                    <a:lumMod val="65000"/>
                    <a:lumOff val="35000"/>
                  </a:schemeClr>
                </a:solidFill>
                <a:uFillTx/>
              </a:rPr>
              <a:t>年第一季度末新登记市场主体占比</a:t>
            </a:r>
            <a:endParaRPr lang="en-US" altLang="en-US" sz="1200">
              <a:solidFill>
                <a:schemeClr val="tx1">
                  <a:lumMod val="65000"/>
                  <a:lumOff val="35000"/>
                </a:schemeClr>
              </a:solidFill>
              <a:uFillTx/>
            </a:endParaRPr>
          </a:p>
        </c:rich>
      </c:tx>
      <c:layout>
        <c:manualLayout>
          <c:xMode val="edge"/>
          <c:yMode val="edge"/>
          <c:x val="0.127906976744186"/>
          <c:y val="0.0309997416688194"/>
        </c:manualLayout>
      </c:layout>
      <c:overlay val="0"/>
      <c:spPr>
        <a:noFill/>
        <a:ln>
          <a:noFill/>
        </a:ln>
        <a:effectLst/>
      </c:spPr>
    </c:title>
    <c:autoTitleDeleted val="0"/>
    <c:plotArea>
      <c:layout/>
      <c:pieChart>
        <c:varyColors val="1"/>
        <c:ser>
          <c:idx val="0"/>
          <c:order val="0"/>
          <c:tx>
            <c:strRef>
              <c:f>Sheet1!$B$1</c:f>
              <c:strCache>
                <c:ptCount val="1"/>
                <c:pt idx="0">
                  <c:v>期末实有市场主体分布图</c:v>
                </c:pt>
              </c:strCache>
            </c:strRef>
          </c:tx>
          <c:spPr>
            <a:solidFill>
              <a:schemeClr val="accent2">
                <a:lumMod val="40000"/>
                <a:lumOff val="60000"/>
              </a:schemeClr>
            </a:solidFill>
          </c:spPr>
          <c:explosion val="0"/>
          <c:dPt>
            <c:idx val="0"/>
            <c:bubble3D val="0"/>
            <c:spPr>
              <a:solidFill>
                <a:schemeClr val="accent2">
                  <a:lumMod val="40000"/>
                  <a:lumOff val="60000"/>
                </a:schemeClr>
              </a:solidFill>
              <a:ln>
                <a:noFill/>
              </a:ln>
              <a:effectLst>
                <a:outerShdw blurRad="57150" dist="19050" dir="5400000" algn="ctr" rotWithShape="0">
                  <a:srgbClr val="000000">
                    <a:alpha val="63000"/>
                  </a:srgbClr>
                </a:outerShdw>
              </a:effectLst>
            </c:spPr>
          </c:dPt>
          <c:dPt>
            <c:idx val="1"/>
            <c:bubble3D val="0"/>
            <c:spPr>
              <a:solidFill>
                <a:schemeClr val="accent4">
                  <a:lumMod val="40000"/>
                  <a:lumOff val="60000"/>
                </a:schemeClr>
              </a:solidFill>
              <a:ln>
                <a:noFill/>
              </a:ln>
              <a:effectLst>
                <a:outerShdw blurRad="57150" dist="19050" dir="5400000" algn="ctr" rotWithShape="0">
                  <a:srgbClr val="000000">
                    <a:alpha val="63000"/>
                  </a:srgbClr>
                </a:outerShdw>
              </a:effectLst>
            </c:spPr>
          </c:dPt>
          <c:dPt>
            <c:idx val="2"/>
            <c:bubble3D val="0"/>
            <c:spPr>
              <a:solidFill>
                <a:schemeClr val="accent5">
                  <a:lumMod val="40000"/>
                  <a:lumOff val="60000"/>
                </a:schemeClr>
              </a:solidFill>
              <a:ln>
                <a:noFill/>
              </a:ln>
              <a:effectLst>
                <a:outerShdw blurRad="57150" dist="19050" dir="5400000" algn="ctr" rotWithShape="0">
                  <a:srgbClr val="000000">
                    <a:alpha val="63000"/>
                  </a:srgbClr>
                </a:outerShdw>
              </a:effectLst>
            </c:spPr>
          </c:dPt>
          <c:dPt>
            <c:idx val="3"/>
            <c:bubble3D val="0"/>
            <c:spPr>
              <a:solidFill>
                <a:schemeClr val="accent3">
                  <a:lumMod val="40000"/>
                  <a:lumOff val="60000"/>
                </a:schemeClr>
              </a:solidFill>
              <a:ln>
                <a:noFill/>
              </a:ln>
              <a:effectLst>
                <a:outerShdw blurRad="57150" dist="19050" dir="5400000" algn="ctr" rotWithShape="0">
                  <a:srgbClr val="000000">
                    <a:alpha val="63000"/>
                  </a:srgbClr>
                </a:outerShdw>
              </a:effectLst>
            </c:spPr>
          </c:dPt>
          <c:dLbls>
            <c:dLbl>
              <c:idx val="0"/>
              <c:layout>
                <c:manualLayout>
                  <c:x val="-0.0150002171785521"/>
                  <c:y val="0.168516974730876"/>
                </c:manualLayout>
              </c:layout>
              <c:dLblPos val="bestFit"/>
              <c:showLegendKey val="0"/>
              <c:showVal val="1"/>
              <c:showCatName val="0"/>
              <c:showSerName val="0"/>
              <c:showPercent val="1"/>
              <c:showBubbleSize val="0"/>
              <c:extLst>
                <c:ext xmlns:c15="http://schemas.microsoft.com/office/drawing/2012/chart" uri="{CE6537A1-D6FC-4f65-9D91-7224C49458BB}">
                  <c15:layout>
                    <c:manualLayout>
                      <c:w val="0.216646266829865"/>
                      <c:h val="0.0581245156290364"/>
                    </c:manualLayout>
                  </c15:layout>
                </c:ext>
              </c:extLst>
            </c:dLbl>
            <c:dLbl>
              <c:idx val="1"/>
              <c:layout>
                <c:manualLayout>
                  <c:x val="0.102400001773906"/>
                  <c:y val="0.006716576861848"/>
                </c:manualLayout>
              </c:layout>
              <c:dLblPos val="bestFit"/>
              <c:showLegendKey val="0"/>
              <c:showVal val="1"/>
              <c:showCatName val="0"/>
              <c:showSerName val="0"/>
              <c:showPercent val="1"/>
              <c:showBubbleSize val="0"/>
              <c:extLst>
                <c:ext xmlns:c15="http://schemas.microsoft.com/office/drawing/2012/chart" uri="{CE6537A1-D6FC-4f65-9D91-7224C49458BB}">
                  <c15:layout>
                    <c:manualLayout>
                      <c:w val="0.255324357405141"/>
                      <c:h val="0.0914492379230173"/>
                    </c:manualLayout>
                  </c15:layout>
                </c:ext>
              </c:extLst>
            </c:dLbl>
            <c:dLbl>
              <c:idx val="2"/>
              <c:layout/>
              <c:dLblPos val="inEnd"/>
              <c:showLegendKey val="0"/>
              <c:showVal val="1"/>
              <c:showCatName val="0"/>
              <c:showSerName val="0"/>
              <c:showPercent val="1"/>
              <c:showBubbleSize val="0"/>
              <c:extLst>
                <c:ext xmlns:c15="http://schemas.microsoft.com/office/drawing/2012/chart" uri="{CE6537A1-D6FC-4f65-9D91-7224C49458BB}">
                  <c15:layout>
                    <c:manualLayout>
                      <c:w val="0.286903304773562"/>
                      <c:h val="0.083957633686386"/>
                    </c:manualLayout>
                  </c15:layout>
                </c:ext>
              </c:extLst>
            </c:dLbl>
            <c:dLbl>
              <c:idx val="3"/>
              <c:layout>
                <c:manualLayout>
                  <c:x val="-0.189965701910049"/>
                  <c:y val="-0.0213601935219634"/>
                </c:manualLayout>
              </c:layout>
              <c:dLblPos val="bestFit"/>
              <c:showLegendKey val="0"/>
              <c:showVal val="1"/>
              <c:showCatName val="0"/>
              <c:showSerName val="0"/>
              <c:showPercent val="1"/>
              <c:showBubbleSize val="0"/>
              <c:extLst>
                <c:ext xmlns:c15="http://schemas.microsoft.com/office/drawing/2012/chart" uri="{CE6537A1-D6FC-4f65-9D91-7224C49458BB}">
                  <c15:layout>
                    <c:manualLayout>
                      <c:w val="0.223011015911873"/>
                      <c:h val="0.0581245156290364"/>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内资企业</c:v>
                </c:pt>
                <c:pt idx="1">
                  <c:v>私营企业</c:v>
                </c:pt>
                <c:pt idx="2">
                  <c:v>个体工商户</c:v>
                </c:pt>
                <c:pt idx="3">
                  <c:v>农民专业合作社</c:v>
                </c:pt>
              </c:strCache>
            </c:strRef>
          </c:cat>
          <c:val>
            <c:numRef>
              <c:f>Sheet1!$B$2:$B$5</c:f>
              <c:numCache>
                <c:formatCode>General</c:formatCode>
                <c:ptCount val="4"/>
                <c:pt idx="0">
                  <c:v>5</c:v>
                </c:pt>
                <c:pt idx="1">
                  <c:v>841</c:v>
                </c:pt>
                <c:pt idx="2">
                  <c:v>6855</c:v>
                </c:pt>
                <c:pt idx="3">
                  <c:v>22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bbf331c-fb55-4503-be92-46429afe38d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户数所占比重</c:v>
                </c:pt>
              </c:strCache>
            </c:strRef>
          </c:tx>
          <c:spPr>
            <a:solidFill>
              <a:schemeClr val="accent1"/>
            </a:solidFill>
            <a:ln>
              <a:noFill/>
            </a:ln>
            <a:effectLst/>
          </c:spPr>
          <c:invertIfNegative val="0"/>
          <c:dLbls>
            <c:delete val="1"/>
          </c:dLbls>
          <c:cat>
            <c:strRef>
              <c:f>Sheet1!$A$2:$A$11</c:f>
              <c:strCache>
                <c:ptCount val="10"/>
                <c:pt idx="0">
                  <c:v>批发和零售业</c:v>
                </c:pt>
                <c:pt idx="1">
                  <c:v>住宿和餐饮业</c:v>
                </c:pt>
                <c:pt idx="2">
                  <c:v>农、林、牧、渔业</c:v>
                </c:pt>
                <c:pt idx="3">
                  <c:v>居民服务和其他服务业</c:v>
                </c:pt>
                <c:pt idx="4">
                  <c:v>制造业</c:v>
                </c:pt>
                <c:pt idx="5">
                  <c:v>建筑业</c:v>
                </c:pt>
                <c:pt idx="6">
                  <c:v>交通运输、仓储和邮政业</c:v>
                </c:pt>
                <c:pt idx="7">
                  <c:v>科学研究和技术服务业</c:v>
                </c:pt>
                <c:pt idx="8">
                  <c:v>租赁和商业服务业</c:v>
                </c:pt>
                <c:pt idx="9">
                  <c:v>其他</c:v>
                </c:pt>
              </c:strCache>
            </c:strRef>
          </c:cat>
          <c:val>
            <c:numRef>
              <c:f>Sheet1!$B$2:$B$11</c:f>
              <c:numCache>
                <c:formatCode>0.00%</c:formatCode>
                <c:ptCount val="10"/>
                <c:pt idx="0">
                  <c:v>0.6289</c:v>
                </c:pt>
                <c:pt idx="1">
                  <c:v>0.0809</c:v>
                </c:pt>
                <c:pt idx="2">
                  <c:v>0.0617</c:v>
                </c:pt>
                <c:pt idx="3">
                  <c:v>0.0614</c:v>
                </c:pt>
                <c:pt idx="4">
                  <c:v>0.0491</c:v>
                </c:pt>
                <c:pt idx="5">
                  <c:v>0.03</c:v>
                </c:pt>
                <c:pt idx="6">
                  <c:v>0.0223</c:v>
                </c:pt>
                <c:pt idx="7">
                  <c:v>0.0174</c:v>
                </c:pt>
                <c:pt idx="8">
                  <c:v>0.0141</c:v>
                </c:pt>
                <c:pt idx="9">
                  <c:v>0.028</c:v>
                </c:pt>
              </c:numCache>
            </c:numRef>
          </c:val>
        </c:ser>
        <c:ser>
          <c:idx val="1"/>
          <c:order val="1"/>
          <c:tx>
            <c:strRef>
              <c:f>Sheet1!$C$1</c:f>
              <c:strCache>
                <c:ptCount val="1"/>
                <c:pt idx="0">
                  <c:v>2022年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批发和零售业</c:v>
                </c:pt>
                <c:pt idx="1">
                  <c:v>住宿和餐饮业</c:v>
                </c:pt>
                <c:pt idx="2">
                  <c:v>农、林、牧、渔业</c:v>
                </c:pt>
                <c:pt idx="3">
                  <c:v>居民服务和其他服务业</c:v>
                </c:pt>
                <c:pt idx="4">
                  <c:v>制造业</c:v>
                </c:pt>
                <c:pt idx="5">
                  <c:v>建筑业</c:v>
                </c:pt>
                <c:pt idx="6">
                  <c:v>交通运输、仓储和邮政业</c:v>
                </c:pt>
                <c:pt idx="7">
                  <c:v>科学研究和技术服务业</c:v>
                </c:pt>
                <c:pt idx="8">
                  <c:v>租赁和商业服务业</c:v>
                </c:pt>
                <c:pt idx="9">
                  <c:v>其他</c:v>
                </c:pt>
              </c:strCache>
            </c:strRef>
          </c:cat>
          <c:val>
            <c:numRef>
              <c:f>Sheet1!$C$2:$C$11</c:f>
              <c:numCache>
                <c:formatCode>General</c:formatCode>
                <c:ptCount val="10"/>
                <c:pt idx="0">
                  <c:v>6170</c:v>
                </c:pt>
                <c:pt idx="1">
                  <c:v>4188</c:v>
                </c:pt>
                <c:pt idx="2">
                  <c:v>3195</c:v>
                </c:pt>
                <c:pt idx="3">
                  <c:v>3181</c:v>
                </c:pt>
                <c:pt idx="4">
                  <c:v>2545</c:v>
                </c:pt>
                <c:pt idx="5">
                  <c:v>1553</c:v>
                </c:pt>
                <c:pt idx="6">
                  <c:v>1153</c:v>
                </c:pt>
                <c:pt idx="7">
                  <c:v>899</c:v>
                </c:pt>
                <c:pt idx="8">
                  <c:v>729</c:v>
                </c:pt>
                <c:pt idx="9">
                  <c:v>1774</c:v>
                </c:pt>
              </c:numCache>
            </c:numRef>
          </c:val>
        </c:ser>
        <c:ser>
          <c:idx val="2"/>
          <c:order val="2"/>
          <c:tx>
            <c:strRef>
              <c:f>Sheet1!$D$1</c:f>
              <c:strCache>
                <c:ptCount val="1"/>
                <c:pt idx="0">
                  <c:v>2021年</c:v>
                </c:pt>
              </c:strCache>
            </c:strRef>
          </c:tx>
          <c:spPr>
            <a:solidFill>
              <a:schemeClr val="bg1"/>
            </a:solidFill>
            <a:ln>
              <a:noFill/>
            </a:ln>
            <a:effectLst/>
          </c:spPr>
          <c:invertIfNegative val="0"/>
          <c:dLbls>
            <c:delete val="1"/>
          </c:dLbls>
          <c:cat>
            <c:strRef>
              <c:f>Sheet1!$A$2:$A$11</c:f>
              <c:strCache>
                <c:ptCount val="10"/>
                <c:pt idx="0">
                  <c:v>批发和零售业</c:v>
                </c:pt>
                <c:pt idx="1">
                  <c:v>住宿和餐饮业</c:v>
                </c:pt>
                <c:pt idx="2">
                  <c:v>农、林、牧、渔业</c:v>
                </c:pt>
                <c:pt idx="3">
                  <c:v>居民服务和其他服务业</c:v>
                </c:pt>
                <c:pt idx="4">
                  <c:v>制造业</c:v>
                </c:pt>
                <c:pt idx="5">
                  <c:v>建筑业</c:v>
                </c:pt>
                <c:pt idx="6">
                  <c:v>交通运输、仓储和邮政业</c:v>
                </c:pt>
                <c:pt idx="7">
                  <c:v>科学研究和技术服务业</c:v>
                </c:pt>
                <c:pt idx="8">
                  <c:v>租赁和商业服务业</c:v>
                </c:pt>
                <c:pt idx="9">
                  <c:v>其他</c:v>
                </c:pt>
              </c:strCache>
            </c:strRef>
          </c:cat>
          <c:val>
            <c:numRef>
              <c:f>Sheet1!$D$2:$D$11</c:f>
              <c:numCache>
                <c:formatCode>General</c:formatCode>
                <c:ptCount val="10"/>
                <c:pt idx="0">
                  <c:v>263</c:v>
                </c:pt>
                <c:pt idx="1">
                  <c:v>3784</c:v>
                </c:pt>
                <c:pt idx="2">
                  <c:v>2752</c:v>
                </c:pt>
                <c:pt idx="3">
                  <c:v>2816</c:v>
                </c:pt>
                <c:pt idx="4">
                  <c:v>2282</c:v>
                </c:pt>
                <c:pt idx="5">
                  <c:v>1121</c:v>
                </c:pt>
                <c:pt idx="6">
                  <c:v>1040</c:v>
                </c:pt>
                <c:pt idx="7">
                  <c:v>123</c:v>
                </c:pt>
                <c:pt idx="8">
                  <c:v>617</c:v>
                </c:pt>
                <c:pt idx="9">
                  <c:v>1295</c:v>
                </c:pt>
              </c:numCache>
            </c:numRef>
          </c:val>
        </c:ser>
        <c:ser>
          <c:idx val="3"/>
          <c:order val="3"/>
          <c:tx>
            <c:strRef>
              <c:f>Sheet1!$E$1</c:f>
              <c:strCache>
                <c:ptCount val="1"/>
                <c:pt idx="0">
                  <c:v>同期占比（%）</c:v>
                </c:pt>
              </c:strCache>
            </c:strRef>
          </c:tx>
          <c:spPr>
            <a:solidFill>
              <a:schemeClr val="bg1"/>
            </a:solidFill>
            <a:ln>
              <a:noFill/>
            </a:ln>
            <a:effectLst/>
          </c:spPr>
          <c:invertIfNegative val="0"/>
          <c:dLbls>
            <c:delete val="1"/>
          </c:dLbls>
          <c:cat>
            <c:strRef>
              <c:f>Sheet1!$A$2:$A$11</c:f>
              <c:strCache>
                <c:ptCount val="10"/>
                <c:pt idx="0">
                  <c:v>批发和零售业</c:v>
                </c:pt>
                <c:pt idx="1">
                  <c:v>住宿和餐饮业</c:v>
                </c:pt>
                <c:pt idx="2">
                  <c:v>农、林、牧、渔业</c:v>
                </c:pt>
                <c:pt idx="3">
                  <c:v>居民服务和其他服务业</c:v>
                </c:pt>
                <c:pt idx="4">
                  <c:v>制造业</c:v>
                </c:pt>
                <c:pt idx="5">
                  <c:v>建筑业</c:v>
                </c:pt>
                <c:pt idx="6">
                  <c:v>交通运输、仓储和邮政业</c:v>
                </c:pt>
                <c:pt idx="7">
                  <c:v>科学研究和技术服务业</c:v>
                </c:pt>
                <c:pt idx="8">
                  <c:v>租赁和商业服务业</c:v>
                </c:pt>
                <c:pt idx="9">
                  <c:v>其他</c:v>
                </c:pt>
              </c:strCache>
            </c:strRef>
          </c:cat>
          <c:val>
            <c:numRef>
              <c:f>Sheet1!$E$2:$E$11</c:f>
              <c:numCache>
                <c:formatCode>General</c:formatCode>
                <c:ptCount val="10"/>
                <c:pt idx="0">
                  <c:v>2246.01</c:v>
                </c:pt>
                <c:pt idx="1">
                  <c:v>10.68</c:v>
                </c:pt>
                <c:pt idx="2">
                  <c:v>16.1</c:v>
                </c:pt>
                <c:pt idx="3">
                  <c:v>12.6</c:v>
                </c:pt>
                <c:pt idx="4">
                  <c:v>11.52</c:v>
                </c:pt>
                <c:pt idx="5">
                  <c:v>38.54</c:v>
                </c:pt>
                <c:pt idx="6">
                  <c:v>10.87</c:v>
                </c:pt>
                <c:pt idx="7">
                  <c:v>630.89</c:v>
                </c:pt>
                <c:pt idx="8">
                  <c:v>18.15</c:v>
                </c:pt>
                <c:pt idx="9">
                  <c:v>560.74</c:v>
                </c:pt>
              </c:numCache>
            </c:numRef>
          </c:val>
        </c:ser>
        <c:dLbls>
          <c:showLegendKey val="0"/>
          <c:showVal val="1"/>
          <c:showCatName val="0"/>
          <c:showSerName val="0"/>
          <c:showPercent val="0"/>
          <c:showBubbleSize val="0"/>
        </c:dLbls>
        <c:gapWidth val="150"/>
        <c:overlap val="0"/>
        <c:axId val="654795565"/>
        <c:axId val="245330062"/>
      </c:barChart>
      <c:catAx>
        <c:axId val="654795565"/>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330062"/>
        <c:crosses val="autoZero"/>
        <c:auto val="1"/>
        <c:lblAlgn val="ctr"/>
        <c:lblOffset val="100"/>
        <c:noMultiLvlLbl val="0"/>
      </c:catAx>
      <c:valAx>
        <c:axId val="24533006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479556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25e4622b-9a78-425d-a57b-d8ae918dd4c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户数所占比重</c:v>
                </c:pt>
              </c:strCache>
            </c:strRef>
          </c:tx>
          <c:spPr>
            <a:solidFill>
              <a:schemeClr val="accent1"/>
            </a:solidFill>
            <a:ln>
              <a:noFill/>
            </a:ln>
            <a:effectLst/>
          </c:spPr>
          <c:invertIfNegative val="0"/>
          <c:dPt>
            <c:idx val="10"/>
            <c:invertIfNegative val="0"/>
            <c:bubble3D val="0"/>
            <c:spPr>
              <a:noFill/>
              <a:ln>
                <a:noFill/>
              </a:ln>
              <a:effectLst/>
            </c:spPr>
          </c:dPt>
          <c:dLbls>
            <c:delete val="1"/>
          </c:dLbls>
          <c:cat>
            <c:strRef>
              <c:f>Sheet1!$A$2:$A$12</c:f>
              <c:strCache>
                <c:ptCount val="11"/>
                <c:pt idx="0">
                  <c:v>批发和零售业</c:v>
                </c:pt>
                <c:pt idx="1">
                  <c:v>科学研究和技术服务业</c:v>
                </c:pt>
                <c:pt idx="2">
                  <c:v>信息传输、计算机服务和软件业</c:v>
                </c:pt>
                <c:pt idx="3">
                  <c:v>建筑业</c:v>
                </c:pt>
                <c:pt idx="4">
                  <c:v>居民服务和其他服务业</c:v>
                </c:pt>
                <c:pt idx="5">
                  <c:v>制造业</c:v>
                </c:pt>
                <c:pt idx="6">
                  <c:v>农、林、牧、渔业</c:v>
                </c:pt>
                <c:pt idx="7">
                  <c:v>住宿和餐饮业</c:v>
                </c:pt>
                <c:pt idx="8">
                  <c:v>租赁和商业服务业</c:v>
                </c:pt>
                <c:pt idx="9">
                  <c:v>交通运输、仓储和邮政业</c:v>
                </c:pt>
                <c:pt idx="10">
                  <c:v>其他</c:v>
                </c:pt>
              </c:strCache>
            </c:strRef>
          </c:cat>
          <c:val>
            <c:numRef>
              <c:f>Sheet1!$B$2:$B$12</c:f>
              <c:numCache>
                <c:formatCode>0.00%</c:formatCode>
                <c:ptCount val="11"/>
                <c:pt idx="0">
                  <c:v>0.7989</c:v>
                </c:pt>
                <c:pt idx="1">
                  <c:v>0.0723</c:v>
                </c:pt>
                <c:pt idx="2">
                  <c:v>0.0352</c:v>
                </c:pt>
                <c:pt idx="3">
                  <c:v>0.0214</c:v>
                </c:pt>
                <c:pt idx="4">
                  <c:v>0.0175</c:v>
                </c:pt>
                <c:pt idx="5">
                  <c:v>0.0162</c:v>
                </c:pt>
                <c:pt idx="6">
                  <c:v>0.0118</c:v>
                </c:pt>
                <c:pt idx="7">
                  <c:v>0.0113</c:v>
                </c:pt>
                <c:pt idx="8">
                  <c:v>0.0076</c:v>
                </c:pt>
                <c:pt idx="9">
                  <c:v>0.003</c:v>
                </c:pt>
                <c:pt idx="10">
                  <c:v>0.00497</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批发和零售业</c:v>
                </c:pt>
                <c:pt idx="1">
                  <c:v>科学研究和技术服务业</c:v>
                </c:pt>
                <c:pt idx="2">
                  <c:v>信息传输、计算机服务和软件业</c:v>
                </c:pt>
                <c:pt idx="3">
                  <c:v>建筑业</c:v>
                </c:pt>
                <c:pt idx="4">
                  <c:v>居民服务和其他服务业</c:v>
                </c:pt>
                <c:pt idx="5">
                  <c:v>制造业</c:v>
                </c:pt>
                <c:pt idx="6">
                  <c:v>农、林、牧、渔业</c:v>
                </c:pt>
                <c:pt idx="7">
                  <c:v>住宿和餐饮业</c:v>
                </c:pt>
                <c:pt idx="8">
                  <c:v>租赁和商业服务业</c:v>
                </c:pt>
                <c:pt idx="9">
                  <c:v>交通运输、仓储和邮政业</c:v>
                </c:pt>
                <c:pt idx="10">
                  <c:v>其他</c:v>
                </c:pt>
              </c:strCache>
            </c:strRef>
          </c:cat>
          <c:val>
            <c:numRef>
              <c:f>Sheet1!$C$2:$C$12</c:f>
              <c:numCache>
                <c:formatCode>General</c:formatCode>
                <c:ptCount val="11"/>
                <c:pt idx="0">
                  <c:v>6170</c:v>
                </c:pt>
                <c:pt idx="1">
                  <c:v>558</c:v>
                </c:pt>
                <c:pt idx="2">
                  <c:v>272</c:v>
                </c:pt>
                <c:pt idx="3">
                  <c:v>165</c:v>
                </c:pt>
                <c:pt idx="4">
                  <c:v>135</c:v>
                </c:pt>
                <c:pt idx="5">
                  <c:v>125</c:v>
                </c:pt>
                <c:pt idx="6">
                  <c:v>91</c:v>
                </c:pt>
                <c:pt idx="7">
                  <c:v>87</c:v>
                </c:pt>
                <c:pt idx="8">
                  <c:v>59</c:v>
                </c:pt>
                <c:pt idx="9">
                  <c:v>23</c:v>
                </c:pt>
                <c:pt idx="10">
                  <c:v>38</c:v>
                </c:pt>
              </c:numCache>
            </c:numRef>
          </c:val>
        </c:ser>
        <c:ser>
          <c:idx val="2"/>
          <c:order val="2"/>
          <c:tx>
            <c:strRef>
              <c:f>Sheet1!$D$1</c:f>
              <c:strCache>
                <c:ptCount val="1"/>
                <c:pt idx="0">
                  <c:v>2021年</c:v>
                </c:pt>
              </c:strCache>
            </c:strRef>
          </c:tx>
          <c:spPr>
            <a:noFill/>
            <a:ln>
              <a:noFill/>
            </a:ln>
            <a:effectLst/>
          </c:spPr>
          <c:invertIfNegative val="0"/>
          <c:dPt>
            <c:idx val="0"/>
            <c:invertIfNegative val="0"/>
            <c:bubble3D val="0"/>
            <c:spPr>
              <a:noFill/>
              <a:ln>
                <a:noFill/>
              </a:ln>
              <a:effectLst/>
            </c:spPr>
          </c:dPt>
          <c:dLbls>
            <c:delete val="1"/>
          </c:dLbls>
          <c:cat>
            <c:strRef>
              <c:f>Sheet1!$A$2:$A$12</c:f>
              <c:strCache>
                <c:ptCount val="11"/>
                <c:pt idx="0">
                  <c:v>批发和零售业</c:v>
                </c:pt>
                <c:pt idx="1">
                  <c:v>科学研究和技术服务业</c:v>
                </c:pt>
                <c:pt idx="2">
                  <c:v>信息传输、计算机服务和软件业</c:v>
                </c:pt>
                <c:pt idx="3">
                  <c:v>建筑业</c:v>
                </c:pt>
                <c:pt idx="4">
                  <c:v>居民服务和其他服务业</c:v>
                </c:pt>
                <c:pt idx="5">
                  <c:v>制造业</c:v>
                </c:pt>
                <c:pt idx="6">
                  <c:v>农、林、牧、渔业</c:v>
                </c:pt>
                <c:pt idx="7">
                  <c:v>住宿和餐饮业</c:v>
                </c:pt>
                <c:pt idx="8">
                  <c:v>租赁和商业服务业</c:v>
                </c:pt>
                <c:pt idx="9">
                  <c:v>交通运输、仓储和邮政业</c:v>
                </c:pt>
                <c:pt idx="10">
                  <c:v>其他</c:v>
                </c:pt>
              </c:strCache>
            </c:strRef>
          </c:cat>
          <c:val>
            <c:numRef>
              <c:f>Sheet1!$D$2:$D$12</c:f>
              <c:numCache>
                <c:formatCode>General</c:formatCode>
                <c:ptCount val="11"/>
                <c:pt idx="0">
                  <c:v>263</c:v>
                </c:pt>
                <c:pt idx="1">
                  <c:v>7</c:v>
                </c:pt>
                <c:pt idx="2">
                  <c:v>6</c:v>
                </c:pt>
                <c:pt idx="3">
                  <c:v>79</c:v>
                </c:pt>
                <c:pt idx="4">
                  <c:v>65</c:v>
                </c:pt>
                <c:pt idx="5">
                  <c:v>30</c:v>
                </c:pt>
                <c:pt idx="6">
                  <c:v>68</c:v>
                </c:pt>
                <c:pt idx="7">
                  <c:v>94</c:v>
                </c:pt>
                <c:pt idx="8">
                  <c:v>40</c:v>
                </c:pt>
                <c:pt idx="9">
                  <c:v>22</c:v>
                </c:pt>
                <c:pt idx="10">
                  <c:v>29</c:v>
                </c:pt>
              </c:numCache>
            </c:numRef>
          </c:val>
        </c:ser>
        <c:ser>
          <c:idx val="3"/>
          <c:order val="3"/>
          <c:tx>
            <c:strRef>
              <c:f>Sheet1!$E$1</c:f>
              <c:strCache>
                <c:ptCount val="1"/>
                <c:pt idx="0">
                  <c:v>同期比（%）</c:v>
                </c:pt>
              </c:strCache>
            </c:strRef>
          </c:tx>
          <c:spPr>
            <a:noFill/>
            <a:ln>
              <a:noFill/>
            </a:ln>
            <a:effectLst/>
          </c:spPr>
          <c:invertIfNegative val="0"/>
          <c:dLbls>
            <c:delete val="1"/>
          </c:dLbls>
          <c:cat>
            <c:strRef>
              <c:f>Sheet1!$A$2:$A$12</c:f>
              <c:strCache>
                <c:ptCount val="11"/>
                <c:pt idx="0">
                  <c:v>批发和零售业</c:v>
                </c:pt>
                <c:pt idx="1">
                  <c:v>科学研究和技术服务业</c:v>
                </c:pt>
                <c:pt idx="2">
                  <c:v>信息传输、计算机服务和软件业</c:v>
                </c:pt>
                <c:pt idx="3">
                  <c:v>建筑业</c:v>
                </c:pt>
                <c:pt idx="4">
                  <c:v>居民服务和其他服务业</c:v>
                </c:pt>
                <c:pt idx="5">
                  <c:v>制造业</c:v>
                </c:pt>
                <c:pt idx="6">
                  <c:v>农、林、牧、渔业</c:v>
                </c:pt>
                <c:pt idx="7">
                  <c:v>住宿和餐饮业</c:v>
                </c:pt>
                <c:pt idx="8">
                  <c:v>租赁和商业服务业</c:v>
                </c:pt>
                <c:pt idx="9">
                  <c:v>交通运输、仓储和邮政业</c:v>
                </c:pt>
                <c:pt idx="10">
                  <c:v>其他</c:v>
                </c:pt>
              </c:strCache>
            </c:strRef>
          </c:cat>
          <c:val>
            <c:numRef>
              <c:f>Sheet1!$E$2:$E$12</c:f>
              <c:numCache>
                <c:formatCode>General</c:formatCode>
                <c:ptCount val="11"/>
                <c:pt idx="0">
                  <c:v>2246.01</c:v>
                </c:pt>
                <c:pt idx="1">
                  <c:v>7871.43</c:v>
                </c:pt>
                <c:pt idx="2">
                  <c:v>4433.33</c:v>
                </c:pt>
                <c:pt idx="3">
                  <c:v>108.86</c:v>
                </c:pt>
                <c:pt idx="4">
                  <c:v>107.69</c:v>
                </c:pt>
                <c:pt idx="5">
                  <c:v>316.67</c:v>
                </c:pt>
                <c:pt idx="6">
                  <c:v>33.82</c:v>
                </c:pt>
                <c:pt idx="7">
                  <c:v>-7.45</c:v>
                </c:pt>
                <c:pt idx="8">
                  <c:v>47.5</c:v>
                </c:pt>
                <c:pt idx="9">
                  <c:v>4.55</c:v>
                </c:pt>
                <c:pt idx="10">
                  <c:v>185.71</c:v>
                </c:pt>
              </c:numCache>
            </c:numRef>
          </c:val>
        </c:ser>
        <c:dLbls>
          <c:showLegendKey val="0"/>
          <c:showVal val="1"/>
          <c:showCatName val="0"/>
          <c:showSerName val="0"/>
          <c:showPercent val="0"/>
          <c:showBubbleSize val="0"/>
        </c:dLbls>
        <c:gapWidth val="150"/>
        <c:overlap val="0"/>
        <c:axId val="877585584"/>
        <c:axId val="685251811"/>
      </c:barChart>
      <c:catAx>
        <c:axId val="87758558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5251811"/>
        <c:crosses val="autoZero"/>
        <c:auto val="1"/>
        <c:lblAlgn val="ctr"/>
        <c:lblOffset val="100"/>
        <c:noMultiLvlLbl val="0"/>
      </c:catAx>
      <c:valAx>
        <c:axId val="685251811"/>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 ?/?" sourceLinked="0"/>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75855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e76f11e4-dc47-4177-b385-fb8a9b51f4c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本期登记主体</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科学研究和技术服务业</c:v>
                </c:pt>
                <c:pt idx="1">
                  <c:v>信息传输计算机和软件服务</c:v>
                </c:pt>
                <c:pt idx="2">
                  <c:v>批发零售业</c:v>
                </c:pt>
                <c:pt idx="3">
                  <c:v>文化、制造业</c:v>
                </c:pt>
                <c:pt idx="4">
                  <c:v>水利、环境和公共设施管理业</c:v>
                </c:pt>
              </c:strCache>
            </c:strRef>
          </c:cat>
          <c:val>
            <c:numRef>
              <c:f>Sheet1!$B$2:$B$6</c:f>
              <c:numCache>
                <c:formatCode>0.00%</c:formatCode>
                <c:ptCount val="5"/>
                <c:pt idx="0">
                  <c:v>78.7143</c:v>
                </c:pt>
                <c:pt idx="1">
                  <c:v>44.3333</c:v>
                </c:pt>
                <c:pt idx="2">
                  <c:v>22.4601</c:v>
                </c:pt>
                <c:pt idx="3">
                  <c:v>3.1667</c:v>
                </c:pt>
                <c:pt idx="4">
                  <c:v>2.5</c:v>
                </c:pt>
              </c:numCache>
            </c:numRef>
          </c:val>
        </c:ser>
        <c:ser>
          <c:idx val="1"/>
          <c:order val="1"/>
          <c:tx>
            <c:strRef>
              <c:f>Sheet1!$C$1</c:f>
              <c:strCache>
                <c:ptCount val="1"/>
                <c:pt idx="0">
                  <c:v>增量</c:v>
                </c:pt>
              </c:strCache>
            </c:strRef>
          </c:tx>
          <c:spPr>
            <a:noFill/>
            <a:ln>
              <a:noFill/>
            </a:ln>
            <a:effectLst/>
          </c:spPr>
          <c:invertIfNegative val="0"/>
          <c:dPt>
            <c:idx val="2"/>
            <c:invertIfNegative val="0"/>
            <c:bubble3D val="0"/>
            <c:spPr>
              <a:noFill/>
              <a:ln>
                <a:noFill/>
              </a:ln>
              <a:effectLst/>
            </c:spPr>
          </c:dPt>
          <c:dLbls>
            <c:delete val="1"/>
          </c:dLbls>
          <c:cat>
            <c:strRef>
              <c:f>Sheet1!$A$2:$A$6</c:f>
              <c:strCache>
                <c:ptCount val="5"/>
                <c:pt idx="0">
                  <c:v>科学研究和技术服务业</c:v>
                </c:pt>
                <c:pt idx="1">
                  <c:v>信息传输计算机和软件服务</c:v>
                </c:pt>
                <c:pt idx="2">
                  <c:v>批发零售业</c:v>
                </c:pt>
                <c:pt idx="3">
                  <c:v>文化、制造业</c:v>
                </c:pt>
                <c:pt idx="4">
                  <c:v>水利、环境和公共设施管理业</c:v>
                </c:pt>
              </c:strCache>
            </c:strRef>
          </c:cat>
          <c:val>
            <c:numRef>
              <c:f>Sheet1!$C$2:$C$6</c:f>
              <c:numCache>
                <c:formatCode>General</c:formatCode>
                <c:ptCount val="5"/>
                <c:pt idx="0">
                  <c:v>558</c:v>
                </c:pt>
                <c:pt idx="1">
                  <c:v>272</c:v>
                </c:pt>
                <c:pt idx="2">
                  <c:v>6170</c:v>
                </c:pt>
                <c:pt idx="3">
                  <c:v>125</c:v>
                </c:pt>
                <c:pt idx="4">
                  <c:v>7</c:v>
                </c:pt>
              </c:numCache>
            </c:numRef>
          </c:val>
        </c:ser>
        <c:dLbls>
          <c:showLegendKey val="0"/>
          <c:showVal val="1"/>
          <c:showCatName val="0"/>
          <c:showSerName val="0"/>
          <c:showPercent val="0"/>
          <c:showBubbleSize val="0"/>
        </c:dLbls>
        <c:gapWidth val="150"/>
        <c:overlap val="0"/>
        <c:axId val="381629860"/>
        <c:axId val="756516148"/>
      </c:barChart>
      <c:catAx>
        <c:axId val="38162986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516148"/>
        <c:crosses val="autoZero"/>
        <c:auto val="1"/>
        <c:lblAlgn val="ctr"/>
        <c:lblOffset val="100"/>
        <c:noMultiLvlLbl val="0"/>
      </c:catAx>
      <c:valAx>
        <c:axId val="756516148"/>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16298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0b5b4fde-13c9-40b3-923c-903d6f0677c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4589</Words>
  <Characters>4803</Characters>
  <Lines>0</Lines>
  <Paragraphs>0</Paragraphs>
  <TotalTime>14</TotalTime>
  <ScaleCrop>false</ScaleCrop>
  <LinksUpToDate>false</LinksUpToDate>
  <CharactersWithSpaces>4866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2022-05-11T11:45:00Z</dcterms:created>
  <dc:creator>洋葱</dc:creator>
  <cp:lastModifiedBy>风筱曼</cp:lastModifiedBy>
  <cp:lastPrinted>2022-05-13T01:27:00Z</cp:lastPrinted>
  <dcterms:modified xsi:type="dcterms:W3CDTF">2025-03-11T08:01:57Z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10B403C137D246279ADCDB4553106FEA_13</vt:lpwstr>
  </property>
  <property fmtid="{D5CDD505-2E9C-101B-9397-08002B2CF9AE}" pid="4" name="KSOTemplateDocerSaveRecord">
    <vt:lpwstr>eyJoZGlkIjoiMjY0ODQyNjQwYTA3ZDg4NmYxNTI1MDNkNmMzYTQ2YjQiLCJ1c2VySWQiOiIyNjc2MDk3OTUifQ==</vt:lpwstr>
  </property>
</Properties>
</file>