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360" w:line="240" w:lineRule="auto"/>
        <w:ind w:right="0"/>
        <w:jc w:val="both"/>
        <w:rPr>
          <w:rFonts w:hint="default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</w:t>
      </w:r>
      <w:bookmarkStart w:id="13" w:name="_GoBack"/>
      <w:bookmarkEnd w:id="13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360" w:line="240" w:lineRule="auto"/>
        <w:ind w:right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4"/>
          <w:szCs w:val="44"/>
        </w:rPr>
        <w:t>死亡证明、亲属关系告知承诺制明白纸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一、适用告知承诺应符合以下条件：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申请人持非公证继承登记材料申请办理非公证继承登记，其中对于穷尽取证途径仍无法取得的死亡证明、亲属关系证明的情况。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二、申请流程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由申请继承人对被继承人的现实情况作出承诺，并填写承诺书，不动产登记窗口予以容缺受理。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600" w:lineRule="exact"/>
        <w:ind w:left="0" w:right="0" w:firstLine="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footnotePr>
            <w:numFmt w:val="decimal"/>
          </w:footnotePr>
          <w:pgSz w:w="11906" w:h="16838"/>
          <w:pgMar w:top="1517" w:right="926" w:bottom="1367" w:left="1234" w:header="0" w:footer="939" w:gutter="0"/>
          <w:pgNumType w:start="2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注：穷尽取证途径是指：通过公安、居委会、村委会等部门无法确认死亡事实，且无法提供亲属关系证明的情况。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360" w:line="450" w:lineRule="exact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360" w:line="450" w:lineRule="exact"/>
        <w:ind w:left="0" w:right="0" w:firstLine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4"/>
          <w:szCs w:val="44"/>
        </w:rPr>
        <w:t>在办理老旧小区关于房证及档案无任何房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4"/>
          <w:szCs w:val="44"/>
        </w:rPr>
        <w:t>屋批准用途相关业务告知承诺明白纸</w:t>
      </w:r>
    </w:p>
    <w:p>
      <w:pPr>
        <w:pStyle w:val="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360" w:line="45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适用告知承诺应符合以下条件：</w:t>
      </w:r>
    </w:p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 w:after="360" w:line="450" w:lineRule="exact"/>
        <w:ind w:right="0" w:rightChars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先由权利人自行到规划部门查档或开具原房屋用途的说明，如规划部门查不到档案或不开具相关说明。</w:t>
      </w:r>
    </w:p>
    <w:p>
      <w:pPr>
        <w:pStyle w:val="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360" w:line="450" w:lineRule="exact"/>
        <w:ind w:left="0" w:leftChars="0" w:right="0" w:rightChars="0"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申请流程：</w:t>
      </w:r>
    </w:p>
    <w:p>
      <w:pPr>
        <w:pStyle w:val="5"/>
        <w:keepNext/>
        <w:keepLines/>
        <w:widowControl w:val="0"/>
        <w:numPr>
          <w:ilvl w:val="0"/>
          <w:numId w:val="2"/>
        </w:numPr>
        <w:shd w:val="clear" w:color="auto" w:fill="auto"/>
        <w:bidi w:val="0"/>
        <w:spacing w:before="0" w:after="360" w:line="450" w:lineRule="exact"/>
        <w:ind w:right="0" w:rightChars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由权利人提交房屋现在实际使用用途的承诺书（并注明权利人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到规划部门査档或开具说明的情况）或在申请书备注栏中记载实际使用用途，不动产登记窗口可以容缺受理。</w:t>
      </w:r>
    </w:p>
    <w:p>
      <w:pPr>
        <w:pStyle w:val="5"/>
        <w:keepNext/>
        <w:keepLines/>
        <w:widowControl w:val="0"/>
        <w:numPr>
          <w:ilvl w:val="0"/>
          <w:numId w:val="2"/>
        </w:numPr>
        <w:shd w:val="clear" w:color="auto" w:fill="auto"/>
        <w:bidi w:val="0"/>
        <w:spacing w:before="0" w:after="360" w:line="450" w:lineRule="exac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由工作人员现场调查核实该房屋现在实际使用用途，并拍照留存，填写《不动产现状现场调査表》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不动产登记窗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口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可以容缺受理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5"/>
        <w:keepNext/>
        <w:keepLines/>
        <w:widowControl w:val="0"/>
        <w:numPr>
          <w:ilvl w:val="0"/>
          <w:numId w:val="2"/>
        </w:numPr>
        <w:shd w:val="clear" w:color="auto" w:fill="auto"/>
        <w:bidi w:val="0"/>
        <w:spacing w:before="0" w:after="360" w:line="450" w:lineRule="exact"/>
        <w:ind w:right="0" w:rightChars="0" w:firstLine="640" w:firstLineChars="200"/>
        <w:jc w:val="both"/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在不动产登记簿和证书附记栏中记载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“该不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动产的房屋（规划）用途无法认定，根据权利人申请暂按实际使用用途登记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"，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不动产登记窗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口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可以容缺受理。</w:t>
      </w:r>
      <w:bookmarkStart w:id="0" w:name="bookmark53"/>
      <w:bookmarkStart w:id="1" w:name="bookmark54"/>
      <w:bookmarkStart w:id="2" w:name="bookmark52"/>
    </w:p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 w:after="360" w:line="450" w:lineRule="exact"/>
        <w:ind w:right="0" w:right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 w:after="360" w:line="450" w:lineRule="exact"/>
        <w:ind w:right="0" w:right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 w:after="360" w:line="450" w:lineRule="exact"/>
        <w:ind w:right="0" w:right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 w:after="360" w:line="450" w:lineRule="exact"/>
        <w:ind w:right="0" w:right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 w:after="360" w:line="450" w:lineRule="exact"/>
        <w:ind w:right="0" w:right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 w:after="360" w:line="450" w:lineRule="exact"/>
        <w:ind w:right="0" w:right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 w:after="360" w:line="45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  <w:t>婚姻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4"/>
          <w:szCs w:val="44"/>
        </w:rPr>
        <w:t>关系告知承诺制明白纸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00"/>
        </w:tabs>
        <w:bidi w:val="0"/>
        <w:spacing w:before="0" w:after="0" w:line="435" w:lineRule="exact"/>
        <w:ind w:left="0" w:right="0" w:firstLine="5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3" w:name="bookmark55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适用告知承诺应符合以下条件：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35" w:lineRule="exact"/>
        <w:ind w:left="0" w:right="0" w:firstLine="52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22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申请人申请需提供结婚证的登记业务时，当婚姻情况证明（如结婚证）中信息与身份证明信息中姓名为同音异形字、登记年龄因周岁虚岁换算与实际年龄相差一岁以内。</w:t>
      </w:r>
      <w:bookmarkStart w:id="4" w:name="bookmark56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35" w:lineRule="exact"/>
        <w:ind w:left="0" w:right="0" w:firstLine="52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35" w:lineRule="exact"/>
        <w:ind w:left="0" w:right="0" w:firstLine="52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、申请流程：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22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7" w:type="default"/>
          <w:footnotePr>
            <w:numFmt w:val="decimal"/>
          </w:footnotePr>
          <w:pgSz w:w="11906" w:h="16838"/>
          <w:pgMar w:top="1067" w:right="930" w:bottom="1067" w:left="1230" w:header="639" w:footer="639" w:gutter="0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由当事人提供夫妻关系户口本并就其申报的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婚姻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状况的真实性做出承诺，并填写承诺书，不动产登记窗口予以受理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48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5" w:name="bookmark57"/>
      <w:bookmarkStart w:id="6" w:name="bookmark59"/>
      <w:bookmarkStart w:id="7" w:name="bookmark58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4"/>
          <w:szCs w:val="44"/>
        </w:rPr>
        <w:t>办理军官证相关业务告知承诺明白纸</w:t>
      </w:r>
      <w:bookmarkEnd w:id="5"/>
      <w:bookmarkEnd w:id="6"/>
      <w:bookmarkEnd w:id="7"/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80"/>
        </w:tabs>
        <w:bidi w:val="0"/>
        <w:spacing w:before="0" w:after="0" w:line="437" w:lineRule="exact"/>
        <w:ind w:left="0" w:right="0" w:firstLine="48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8" w:name="bookmark6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一</w:t>
      </w:r>
      <w:bookmarkEnd w:id="8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适用告知承诺应符合以下条件：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858"/>
        </w:tabs>
        <w:bidi w:val="0"/>
        <w:spacing w:before="0" w:after="0" w:line="437" w:lineRule="exact"/>
        <w:ind w:left="0" w:right="0" w:firstLine="50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bookmarkStart w:id="9" w:name="bookmark61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1</w:t>
      </w:r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当申请人持身份证申请不动产登记，但经查询档案材料留存的是军官证或士官证，且与身份证无法核实为同一人；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0" w:name="bookmark6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</w:t>
      </w:r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申请人为崇阳户籍且现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退役。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80"/>
        </w:tabs>
        <w:bidi w:val="0"/>
        <w:spacing w:before="0" w:after="0" w:line="437" w:lineRule="exact"/>
        <w:ind w:left="0" w:right="0" w:firstLine="48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</w:pPr>
      <w:bookmarkStart w:id="11" w:name="bookmark63"/>
    </w:p>
    <w:bookmarkEnd w:id="11"/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0"/>
        </w:tabs>
        <w:bidi w:val="0"/>
        <w:spacing w:before="0" w:after="0" w:line="437" w:lineRule="exact"/>
        <w:ind w:left="0" w:leftChars="0" w:right="0" w:rightChars="0"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申请流程：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980"/>
        </w:tabs>
        <w:bidi w:val="0"/>
        <w:spacing w:before="0" w:after="0" w:line="437" w:lineRule="exact"/>
        <w:ind w:leftChars="200" w:right="0" w:rightChars="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由申请人提供身份证，并填写承诺书申请办理登记 业务，不动产登记窗口可以容缺受理；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rPr>
          <w:rFonts w:hint="eastAsia" w:eastAsia="仿宋"/>
          <w:lang w:eastAsia="zh-CN"/>
        </w:rPr>
      </w:pPr>
      <w:bookmarkStart w:id="12" w:name="bookmark65"/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受理业务后，由中心工作人员发函至县退役军人事务局进行核对，同时做好相关核实记录，核对无误后，中心工作人员联系申请人告知该笔业务予以受理，若核实不属实或无法核实情况，则会联系申请人说明原因，不予受理该笔业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/>
    <w:sectPr>
      <w:footnotePr>
        <w:numFmt w:val="decimal"/>
      </w:footnotePr>
      <w:pgSz w:w="11906" w:h="16838"/>
      <w:pgMar w:top="1075" w:right="922" w:bottom="1075" w:left="1237" w:header="647" w:footer="647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DECA6"/>
    <w:multiLevelType w:val="singleLevel"/>
    <w:tmpl w:val="BE3DEC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C02824"/>
    <w:multiLevelType w:val="singleLevel"/>
    <w:tmpl w:val="1AC028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ODcxMmM3MWIxMjVhZmYwMzU2YWQ2NTA0YWU3YWUifQ=="/>
  </w:docVars>
  <w:rsids>
    <w:rsidRoot w:val="38811C49"/>
    <w:rsid w:val="05480C52"/>
    <w:rsid w:val="34C44FEB"/>
    <w:rsid w:val="38811C49"/>
    <w:rsid w:val="605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380" w:line="435" w:lineRule="exact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2022-07-07T09:53:00Z</dcterms:created>
  <dc:creator>234</dc:creator>
  <cp:lastModifiedBy>lw</cp:lastModifiedBy>
  <dcterms:modified xsi:type="dcterms:W3CDTF">2023-11-06T04:25:49Z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1B702E5DFEF6401FB03C4AC8B2460B0C</vt:lpwstr>
  </property>
</Properties>
</file>