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20</w:t>
      </w:r>
      <w:r>
        <w:rPr>
          <w:rFonts w:ascii="宋体" w:hAnsi="宋体"/>
          <w:b/>
          <w:bCs/>
          <w:sz w:val="48"/>
          <w:szCs w:val="48"/>
        </w:rPr>
        <w:t>20</w:t>
      </w:r>
      <w:r>
        <w:rPr>
          <w:rFonts w:hint="eastAsia" w:ascii="宋体" w:hAnsi="宋体"/>
          <w:b/>
          <w:bCs/>
          <w:sz w:val="48"/>
          <w:szCs w:val="48"/>
        </w:rPr>
        <w:t>年度白霓镇人民政府整体支出绩效自评结果</w:t>
      </w:r>
    </w:p>
    <w:p>
      <w:pPr>
        <w:spacing w:line="600" w:lineRule="exact"/>
        <w:ind w:right="210" w:right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一、自评结论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（一）自评得分</w:t>
      </w:r>
    </w:p>
    <w:p>
      <w:pPr>
        <w:ind w:right="210" w:rightChars="100" w:firstLine="600" w:firstLineChars="200"/>
        <w:rPr>
          <w:rFonts w:cs="方正小标宋简体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年白霓镇人民政府整体支出绩效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自评得分为9</w:t>
      </w:r>
      <w:r>
        <w:rPr>
          <w:rFonts w:cs="方正小标宋简体" w:asciiTheme="minorEastAsia" w:hAnsiTheme="minorEastAsia" w:eastAsiaTheme="minorEastAsia"/>
          <w:sz w:val="30"/>
          <w:szCs w:val="30"/>
        </w:rPr>
        <w:t>9.66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分，其中预算执行</w:t>
      </w:r>
      <w:r>
        <w:rPr>
          <w:rFonts w:cs="方正小标宋简体" w:asciiTheme="minorEastAsia" w:hAnsiTheme="minorEastAsia" w:eastAsiaTheme="minorEastAsia"/>
          <w:sz w:val="30"/>
          <w:szCs w:val="30"/>
        </w:rPr>
        <w:t>19.66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分，产出指标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40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分，效益指标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分，满意度指标</w:t>
      </w:r>
      <w:r>
        <w:rPr>
          <w:rFonts w:cs="方正小标宋简体" w:asciiTheme="minorEastAsia" w:hAnsiTheme="minorEastAsia" w:eastAsiaTheme="minorEastAsia"/>
          <w:sz w:val="30"/>
          <w:szCs w:val="30"/>
        </w:rPr>
        <w:t>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分。</w:t>
      </w:r>
    </w:p>
    <w:p>
      <w:pPr>
        <w:tabs>
          <w:tab w:val="left" w:pos="928"/>
          <w:tab w:val="left" w:pos="982"/>
        </w:tabs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（二）部门整体绩效目标完成情况</w:t>
      </w:r>
    </w:p>
    <w:p>
      <w:pPr>
        <w:tabs>
          <w:tab w:val="left" w:pos="312"/>
        </w:tabs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1、执行率情况</w:t>
      </w:r>
    </w:p>
    <w:p>
      <w:pPr>
        <w:pStyle w:val="8"/>
        <w:spacing w:line="56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年度项目资金预算数</w:t>
      </w:r>
      <w:r>
        <w:rPr>
          <w:rFonts w:asciiTheme="minorEastAsia" w:hAnsiTheme="minorEastAsia" w:eastAsiaTheme="minorEastAsia"/>
          <w:sz w:val="30"/>
          <w:szCs w:val="30"/>
        </w:rPr>
        <w:t>1669.42</w:t>
      </w:r>
      <w:r>
        <w:rPr>
          <w:rFonts w:hint="eastAsia" w:asciiTheme="minorEastAsia" w:hAnsiTheme="minorEastAsia" w:eastAsiaTheme="minorEastAsia"/>
          <w:sz w:val="30"/>
          <w:szCs w:val="30"/>
        </w:rPr>
        <w:t>万元，决算数为</w:t>
      </w:r>
      <w:r>
        <w:rPr>
          <w:rFonts w:asciiTheme="minorEastAsia" w:hAnsiTheme="minorEastAsia" w:eastAsiaTheme="minorEastAsia"/>
          <w:sz w:val="30"/>
          <w:szCs w:val="30"/>
        </w:rPr>
        <w:t>1641.07</w:t>
      </w:r>
      <w:r>
        <w:rPr>
          <w:rFonts w:hint="eastAsia" w:asciiTheme="minorEastAsia" w:hAnsiTheme="minorEastAsia" w:eastAsiaTheme="minorEastAsia"/>
          <w:sz w:val="30"/>
          <w:szCs w:val="30"/>
        </w:rPr>
        <w:t>万元，预算资金全部到位。执行率为</w:t>
      </w:r>
      <w:r>
        <w:rPr>
          <w:rFonts w:asciiTheme="minorEastAsia" w:hAnsiTheme="minorEastAsia" w:eastAsiaTheme="minorEastAsia"/>
          <w:sz w:val="30"/>
          <w:szCs w:val="30"/>
        </w:rPr>
        <w:t>98.3</w:t>
      </w:r>
      <w:r>
        <w:rPr>
          <w:rFonts w:hint="eastAsia" w:asciiTheme="minorEastAsia" w:hAnsiTheme="minorEastAsia" w:eastAsiaTheme="minorEastAsia"/>
          <w:sz w:val="30"/>
          <w:szCs w:val="30"/>
        </w:rPr>
        <w:t>%。</w:t>
      </w:r>
    </w:p>
    <w:p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2.完成的绩效目标</w:t>
      </w:r>
    </w:p>
    <w:p>
      <w:pPr>
        <w:spacing w:line="600" w:lineRule="exact"/>
        <w:ind w:right="210" w:rightChars="100" w:firstLine="280" w:firstLine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产出指标，效益指标和满意度指标已完成。</w:t>
      </w:r>
    </w:p>
    <w:p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 xml:space="preserve"> 未完成的绩效目标</w:t>
      </w:r>
    </w:p>
    <w:p>
      <w:pPr>
        <w:spacing w:line="600" w:lineRule="exact"/>
        <w:ind w:right="210" w:rightChars="1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预算</w:t>
      </w:r>
      <w:r>
        <w:rPr>
          <w:rFonts w:hint="eastAsia" w:asciiTheme="minorEastAsia" w:hAnsiTheme="minorEastAsia" w:eastAsiaTheme="minorEastAsia"/>
          <w:sz w:val="30"/>
          <w:szCs w:val="30"/>
        </w:rPr>
        <w:t>执行率为</w:t>
      </w:r>
      <w:r>
        <w:rPr>
          <w:rFonts w:asciiTheme="minorEastAsia" w:hAnsiTheme="minorEastAsia" w:eastAsiaTheme="minorEastAsia"/>
          <w:sz w:val="30"/>
          <w:szCs w:val="30"/>
        </w:rPr>
        <w:t>98.3</w:t>
      </w:r>
      <w:r>
        <w:rPr>
          <w:rFonts w:hint="eastAsia" w:asciiTheme="minorEastAsia" w:hAnsiTheme="minorEastAsia" w:eastAsiaTheme="minorEastAsia"/>
          <w:sz w:val="30"/>
          <w:szCs w:val="30"/>
        </w:rPr>
        <w:t>%</w:t>
      </w:r>
      <w:r>
        <w:rPr>
          <w:rFonts w:hint="eastAsia" w:ascii="仿宋_GB2312"/>
          <w:sz w:val="28"/>
          <w:szCs w:val="28"/>
        </w:rPr>
        <w:t xml:space="preserve">，剩余资金为日常公用经费。 </w:t>
      </w:r>
      <w:r>
        <w:rPr>
          <w:rFonts w:ascii="仿宋_GB2312"/>
          <w:sz w:val="28"/>
          <w:szCs w:val="28"/>
        </w:rPr>
        <w:t xml:space="preserve">  </w:t>
      </w:r>
    </w:p>
    <w:p>
      <w:pPr>
        <w:ind w:right="210" w:rightChars="100"/>
        <w:rPr>
          <w:rFonts w:cs="楷体_GB2312"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（三）存在的问题和原因。</w:t>
      </w:r>
    </w:p>
    <w:p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、预算指标体系不够完整。</w:t>
      </w:r>
    </w:p>
    <w:p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2、预算编制不准确，预算管理制度不健全。</w:t>
      </w:r>
    </w:p>
    <w:p>
      <w:pPr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（四）下一步拟改进措施</w:t>
      </w:r>
    </w:p>
    <w:p>
      <w:pPr>
        <w:adjustRightInd w:val="0"/>
        <w:snapToGrid w:val="0"/>
        <w:spacing w:line="360" w:lineRule="auto"/>
        <w:ind w:right="210" w:rightChars="100" w:firstLine="602" w:firstLineChars="200"/>
        <w:contextualSpacing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cs="仿宋_GB2312" w:asciiTheme="minorEastAsia" w:hAnsiTheme="minorEastAsia" w:eastAsiaTheme="minorEastAsia"/>
          <w:b/>
          <w:bCs/>
          <w:sz w:val="30"/>
          <w:szCs w:val="30"/>
        </w:rPr>
        <w:t>1.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 xml:space="preserve"> 充分编制整体目标，设置合适绩效指标值，健全绩效指标体系。</w:t>
      </w:r>
    </w:p>
    <w:p>
      <w:pPr>
        <w:adjustRightInd w:val="0"/>
        <w:snapToGrid w:val="0"/>
        <w:spacing w:line="360" w:lineRule="auto"/>
        <w:ind w:right="210" w:rightChars="100" w:firstLine="600" w:firstLineChars="200"/>
        <w:contextualSpacing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项目单位在编制整体绩效目标时，应充分把握全</w:t>
      </w:r>
      <w:r>
        <w:rPr>
          <w:rFonts w:hint="eastAsia" w:asciiTheme="minorEastAsia" w:hAnsiTheme="minorEastAsia" w:eastAsiaTheme="minorEastAsia"/>
          <w:sz w:val="30"/>
          <w:szCs w:val="30"/>
        </w:rPr>
        <w:t>单位</w:t>
      </w:r>
      <w:r>
        <w:rPr>
          <w:rFonts w:asciiTheme="minorEastAsia" w:hAnsiTheme="minorEastAsia" w:eastAsiaTheme="minorEastAsia"/>
          <w:sz w:val="30"/>
          <w:szCs w:val="30"/>
        </w:rPr>
        <w:t>的工作计划、以及各项工作内容，对全</w:t>
      </w:r>
      <w:r>
        <w:rPr>
          <w:rFonts w:hint="eastAsia" w:asciiTheme="minorEastAsia" w:hAnsiTheme="minorEastAsia" w:eastAsiaTheme="minorEastAsia"/>
          <w:sz w:val="30"/>
          <w:szCs w:val="30"/>
        </w:rPr>
        <w:t>单位</w:t>
      </w:r>
      <w:r>
        <w:rPr>
          <w:rFonts w:asciiTheme="minorEastAsia" w:hAnsiTheme="minorEastAsia" w:eastAsiaTheme="minorEastAsia"/>
          <w:sz w:val="30"/>
          <w:szCs w:val="30"/>
        </w:rPr>
        <w:t>工作进行整合，凝练出合适完整的整体项目目标；同时结合历年工作完成情况，为设计的指标选择合适的指标值，逐步完善绩效指标体系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</w:t>
      </w:r>
      <w:r>
        <w:rPr>
          <w:rFonts w:asciiTheme="minorEastAsia" w:hAnsiTheme="minorEastAsia" w:eastAsiaTheme="minorEastAsia"/>
          <w:sz w:val="30"/>
          <w:szCs w:val="30"/>
        </w:rPr>
        <w:t>加强预算管理制度建设，提升单位预算编制准确性、科学性。</w:t>
      </w:r>
    </w:p>
    <w:p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①</w:t>
      </w:r>
      <w:r>
        <w:rPr>
          <w:rFonts w:asciiTheme="minorEastAsia" w:hAnsiTheme="minorEastAsia" w:eastAsiaTheme="minorEastAsia"/>
          <w:sz w:val="30"/>
          <w:szCs w:val="30"/>
        </w:rPr>
        <w:t>预算单位财务部门预算编报要结合当年工作计划，充分考虑当年需追加的支出预算、上年的结转结余金额，编制客观全面的预算文本，提高预算编制的准确性，对于预算外的内容，及时制定调整手续，以完善预算过程。</w:t>
      </w:r>
    </w:p>
    <w:p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②</w:t>
      </w:r>
      <w:r>
        <w:rPr>
          <w:rFonts w:asciiTheme="minorEastAsia" w:hAnsiTheme="minorEastAsia" w:eastAsiaTheme="minorEastAsia"/>
          <w:sz w:val="30"/>
          <w:szCs w:val="30"/>
        </w:rPr>
        <w:t>年末上报决算时，应完善与财政部门对账工作，核实部门支出与财政支出的差异情况，明确支出内容，以准确反映预算编制的准确性，完善预算管理。</w:t>
      </w:r>
    </w:p>
    <w:p>
      <w:pPr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③</w:t>
      </w:r>
      <w:r>
        <w:rPr>
          <w:rFonts w:asciiTheme="minorEastAsia" w:hAnsiTheme="minorEastAsia" w:eastAsiaTheme="minorEastAsia"/>
          <w:sz w:val="30"/>
          <w:szCs w:val="30"/>
        </w:rPr>
        <w:t>健全项目管理制度，进一步加强项目管理。项目主管单位应从制度层面上落实项目工作，完善项目执行制度，使工作的执行有理有据，秩序进行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④根据历史开展情况和预计工作安排，合理规划预算资金分配，进一步规范财政预算编制，提升预算编制的科学性合理性。</w:t>
      </w:r>
    </w:p>
    <w:p>
      <w:pPr>
        <w:adjustRightInd w:val="0"/>
        <w:snapToGrid w:val="0"/>
        <w:spacing w:line="360" w:lineRule="auto"/>
        <w:ind w:right="210" w:rightChars="1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2、拟与预算安排相结合情况。</w:t>
      </w:r>
    </w:p>
    <w:p>
      <w:pPr>
        <w:adjustRightInd w:val="0"/>
        <w:snapToGrid w:val="0"/>
        <w:spacing w:line="360" w:lineRule="auto"/>
        <w:ind w:right="210" w:rightChars="100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在预算资金安排中适当考虑不同的评价对象和不同的评价结果，不断完善管委会运行资金保留、整合、调整和退出机制。</w:t>
      </w:r>
    </w:p>
    <w:p>
      <w:pPr>
        <w:spacing w:line="360" w:lineRule="auto"/>
        <w:ind w:right="210" w:rightChars="100"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参照项目绩效评价结果和以前年度的预算执行情况，编制20</w:t>
      </w:r>
      <w:r>
        <w:rPr>
          <w:rFonts w:ascii="宋体" w:hAnsi="宋体"/>
          <w:sz w:val="30"/>
          <w:szCs w:val="30"/>
        </w:rPr>
        <w:t>21</w:t>
      </w:r>
      <w:r>
        <w:rPr>
          <w:rFonts w:hint="eastAsia" w:ascii="宋体" w:hAnsi="宋体"/>
          <w:sz w:val="30"/>
          <w:szCs w:val="30"/>
        </w:rPr>
        <w:t>年度的绩效目标和部门预算。在预算文本的编制中，除紧密结合项目的长期绩效目标和年度绩效目标外，充分考虑绩效评价结果，根据绩效评价结果调整预算申报和预算资金安排。</w:t>
      </w:r>
    </w:p>
    <w:p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sz w:val="30"/>
          <w:szCs w:val="30"/>
        </w:rPr>
        <w:t>附件：</w:t>
      </w:r>
      <w:r>
        <w:rPr>
          <w:rFonts w:cs="方正小标宋简体" w:asciiTheme="minorEastAsia" w:hAnsiTheme="minorEastAsia" w:eastAsiaTheme="minorEastAsia"/>
          <w:sz w:val="30"/>
          <w:szCs w:val="30"/>
        </w:rPr>
        <w:t xml:space="preserve"> 2020</w:t>
      </w:r>
      <w:r>
        <w:rPr>
          <w:rFonts w:hint="eastAsia" w:cs="方正小标宋简体" w:asciiTheme="minorEastAsia" w:hAnsiTheme="minorEastAsia" w:eastAsiaTheme="minorEastAsia"/>
          <w:sz w:val="30"/>
          <w:szCs w:val="30"/>
        </w:rPr>
        <w:t>年度崇阳县白霓镇人民政府整体绩效</w:t>
      </w:r>
      <w:r>
        <w:rPr>
          <w:rFonts w:hint="eastAsia" w:cs="楷体_GB2312" w:asciiTheme="minorEastAsia" w:hAnsiTheme="minorEastAsia" w:eastAsiaTheme="minorEastAsia"/>
          <w:sz w:val="30"/>
          <w:szCs w:val="30"/>
        </w:rPr>
        <w:t>自评表（附后）</w:t>
      </w:r>
    </w:p>
    <w:p>
      <w:pPr>
        <w:spacing w:line="560" w:lineRule="exact"/>
        <w:ind w:right="210" w:rightChars="100"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佐证材料</w:t>
      </w:r>
    </w:p>
    <w:p>
      <w:pPr>
        <w:spacing w:line="56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（一）基本情况</w:t>
      </w:r>
    </w:p>
    <w:p>
      <w:pPr>
        <w:ind w:right="210" w:rightChars="100" w:firstLine="600" w:firstLineChars="200"/>
        <w:rPr>
          <w:rFonts w:cs="??_GB2312" w:asciiTheme="minorEastAsia" w:hAnsiTheme="minorEastAsia" w:eastAsiaTheme="minorEastAsia"/>
          <w:sz w:val="30"/>
          <w:szCs w:val="30"/>
        </w:rPr>
      </w:pPr>
      <w:r>
        <w:rPr>
          <w:rFonts w:cs="??_GB2312" w:asciiTheme="minorEastAsia" w:hAnsiTheme="minorEastAsia" w:eastAsiaTheme="minorEastAsia"/>
          <w:sz w:val="30"/>
          <w:szCs w:val="30"/>
        </w:rPr>
        <w:t>1.简要概述部门支出情况以及当年县委县政府布置的重点工作。</w:t>
      </w:r>
    </w:p>
    <w:p>
      <w:pPr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2020年部门预算收入合计</w:t>
      </w:r>
      <w:r>
        <w:rPr>
          <w:rFonts w:asciiTheme="minorEastAsia" w:hAnsiTheme="minorEastAsia" w:eastAsiaTheme="minorEastAsia"/>
          <w:sz w:val="30"/>
          <w:szCs w:val="30"/>
        </w:rPr>
        <w:t>1339.59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万元，其中：预算内财政拨款收入</w:t>
      </w:r>
      <w:r>
        <w:rPr>
          <w:rFonts w:asciiTheme="minorEastAsia" w:hAnsiTheme="minorEastAsia" w:eastAsiaTheme="minorEastAsia"/>
          <w:sz w:val="30"/>
          <w:szCs w:val="30"/>
        </w:rPr>
        <w:t>396.11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万元，其它收入</w:t>
      </w:r>
      <w:r>
        <w:rPr>
          <w:rFonts w:asciiTheme="minorEastAsia" w:hAnsiTheme="minorEastAsia" w:eastAsiaTheme="minorEastAsia"/>
          <w:sz w:val="30"/>
          <w:szCs w:val="30"/>
        </w:rPr>
        <w:t>943.48</w:t>
      </w:r>
      <w:r>
        <w:rPr>
          <w:rFonts w:hint="eastAsia" w:asciiTheme="minorEastAsia" w:hAnsiTheme="minorEastAsia" w:eastAsiaTheme="minorEastAsia"/>
          <w:sz w:val="30"/>
          <w:szCs w:val="30"/>
        </w:rPr>
        <w:t>万元</w:t>
      </w:r>
    </w:p>
    <w:p>
      <w:pPr>
        <w:spacing w:line="384" w:lineRule="auto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2020年部门预算安排支出合计</w:t>
      </w:r>
      <w:r>
        <w:rPr>
          <w:rFonts w:asciiTheme="minorEastAsia" w:hAnsiTheme="minorEastAsia" w:eastAsiaTheme="minorEastAsia"/>
          <w:sz w:val="30"/>
          <w:szCs w:val="30"/>
        </w:rPr>
        <w:t>1339.59</w:t>
      </w:r>
      <w:r>
        <w:rPr>
          <w:rFonts w:hint="eastAsia" w:asciiTheme="minorEastAsia" w:hAnsiTheme="minorEastAsia" w:eastAsiaTheme="minorEastAsia"/>
          <w:sz w:val="30"/>
          <w:szCs w:val="30"/>
        </w:rPr>
        <w:t>万元，其中:基本支出</w:t>
      </w:r>
      <w:r>
        <w:rPr>
          <w:rFonts w:asciiTheme="minorEastAsia" w:hAnsiTheme="minorEastAsia" w:eastAsiaTheme="minorEastAsia"/>
          <w:sz w:val="30"/>
          <w:szCs w:val="30"/>
        </w:rPr>
        <w:t>845.09</w:t>
      </w:r>
      <w:r>
        <w:rPr>
          <w:rFonts w:hint="eastAsia" w:asciiTheme="minorEastAsia" w:hAnsiTheme="minorEastAsia" w:eastAsiaTheme="minorEastAsia"/>
          <w:sz w:val="30"/>
          <w:szCs w:val="30"/>
        </w:rPr>
        <w:t>万元，占总支出的</w:t>
      </w:r>
      <w:r>
        <w:rPr>
          <w:rFonts w:asciiTheme="minorEastAsia" w:hAnsiTheme="minorEastAsia" w:eastAsiaTheme="minorEastAsia"/>
          <w:sz w:val="30"/>
          <w:szCs w:val="30"/>
        </w:rPr>
        <w:t>63.08</w:t>
      </w:r>
      <w:r>
        <w:rPr>
          <w:rFonts w:hint="eastAsia" w:asciiTheme="minorEastAsia" w:hAnsiTheme="minorEastAsia" w:eastAsiaTheme="minorEastAsia"/>
          <w:sz w:val="30"/>
          <w:szCs w:val="30"/>
        </w:rPr>
        <w:t>%；项目支出</w:t>
      </w:r>
      <w:r>
        <w:rPr>
          <w:rFonts w:asciiTheme="minorEastAsia" w:hAnsiTheme="minorEastAsia" w:eastAsiaTheme="minorEastAsia"/>
          <w:sz w:val="30"/>
          <w:szCs w:val="30"/>
        </w:rPr>
        <w:t>494.5</w:t>
      </w:r>
      <w:r>
        <w:rPr>
          <w:rFonts w:hint="eastAsia" w:asciiTheme="minorEastAsia" w:hAnsiTheme="minorEastAsia" w:eastAsiaTheme="minorEastAsia"/>
          <w:sz w:val="30"/>
          <w:szCs w:val="30"/>
        </w:rPr>
        <w:t>万元，占总支出的</w:t>
      </w:r>
      <w:r>
        <w:rPr>
          <w:rFonts w:asciiTheme="minorEastAsia" w:hAnsiTheme="minorEastAsia" w:eastAsiaTheme="minorEastAsia"/>
          <w:sz w:val="30"/>
          <w:szCs w:val="30"/>
        </w:rPr>
        <w:t>36.92</w:t>
      </w:r>
      <w:r>
        <w:rPr>
          <w:rFonts w:hint="eastAsia" w:asciiTheme="minorEastAsia" w:hAnsiTheme="minorEastAsia" w:eastAsiaTheme="minorEastAsia"/>
          <w:sz w:val="30"/>
          <w:szCs w:val="30"/>
        </w:rPr>
        <w:t>%。</w:t>
      </w:r>
    </w:p>
    <w:p>
      <w:pPr>
        <w:spacing w:line="560" w:lineRule="exact"/>
        <w:ind w:right="210" w:rightChars="1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2020年度重点工作情况：</w:t>
      </w:r>
    </w:p>
    <w:p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一是以党的建设为引领，筑牢白霓堡垒。</w:t>
      </w:r>
      <w:r>
        <w:rPr>
          <w:rFonts w:cs="仿宋_GB2312" w:asciiTheme="majorEastAsia" w:hAnsiTheme="majorEastAsia" w:eastAsiaTheme="majorEastAsia"/>
          <w:sz w:val="30"/>
          <w:szCs w:val="30"/>
        </w:rPr>
        <w:t>坚持把学习宣传贯彻落实习近平新时代</w:t>
      </w:r>
      <w:bookmarkStart w:id="1" w:name="_GoBack"/>
      <w:bookmarkEnd w:id="1"/>
      <w:r>
        <w:rPr>
          <w:rFonts w:hint="eastAsia" w:cs="仿宋_GB2312" w:asciiTheme="majorEastAsia" w:hAnsiTheme="majorEastAsia" w:eastAsiaTheme="majorEastAsia"/>
          <w:sz w:val="30"/>
          <w:szCs w:val="30"/>
          <w:lang w:eastAsia="zh-CN"/>
        </w:rPr>
        <w:t>中国特色社会主义</w:t>
      </w:r>
      <w:r>
        <w:rPr>
          <w:rFonts w:cs="仿宋_GB2312" w:asciiTheme="majorEastAsia" w:hAnsiTheme="majorEastAsia" w:eastAsiaTheme="majorEastAsia"/>
          <w:sz w:val="30"/>
          <w:szCs w:val="30"/>
        </w:rPr>
        <w:t>思想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、</w:t>
      </w:r>
      <w:r>
        <w:rPr>
          <w:rFonts w:cs="仿宋_GB2312" w:asciiTheme="majorEastAsia" w:hAnsiTheme="majorEastAsia" w:eastAsiaTheme="majorEastAsia"/>
          <w:sz w:val="30"/>
          <w:szCs w:val="30"/>
        </w:rPr>
        <w:t>党的十九大精神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和十九届四中全会精神</w:t>
      </w:r>
      <w:r>
        <w:rPr>
          <w:rFonts w:cs="仿宋_GB2312" w:asciiTheme="majorEastAsia" w:hAnsiTheme="majorEastAsia" w:eastAsiaTheme="majorEastAsia"/>
          <w:sz w:val="30"/>
          <w:szCs w:val="30"/>
        </w:rPr>
        <w:t>作为首要政治任务，在学懂弄通做实上下功夫，用习近平新时代中国特色社会主义思想武装头脑、指导实践、推动工作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。</w:t>
      </w:r>
      <w:r>
        <w:rPr>
          <w:rFonts w:cs="仿宋_GB2312" w:asciiTheme="majorEastAsia" w:hAnsiTheme="majorEastAsia" w:eastAsiaTheme="majorEastAsia"/>
          <w:sz w:val="30"/>
          <w:szCs w:val="30"/>
        </w:rPr>
        <w:t>深入推进“两学一做”学习教育常态化制度化，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巩固“不忘初心、牢记使命”主题教育成果，</w:t>
      </w:r>
      <w:r>
        <w:rPr>
          <w:rFonts w:cs="仿宋_GB2312" w:asciiTheme="majorEastAsia" w:hAnsiTheme="majorEastAsia" w:eastAsiaTheme="majorEastAsia"/>
          <w:sz w:val="30"/>
          <w:szCs w:val="30"/>
        </w:rPr>
        <w:t>充分利用“学习强国”ＡＰＰ加强平时学习，认真执行“三会一课”等制度，使广大党员干部养成自觉学习的良好习惯，切实树牢“四个意识”，坚定“四个自信”，坚决做到“两个维护”。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立足基层干部工作实际和现实需要，大力实施干部能力提升工程，围绕党的建设、乡村振兴、乡村治理等重点内容，持续通过“走出去”“请进来”等学习方式加强学习，不断开拓视野，提高干事创业本领。</w:t>
      </w:r>
      <w:r>
        <w:rPr>
          <w:rFonts w:cs="仿宋_GB2312" w:asciiTheme="majorEastAsia" w:hAnsiTheme="majorEastAsia" w:eastAsiaTheme="majorEastAsia"/>
          <w:sz w:val="30"/>
          <w:szCs w:val="30"/>
        </w:rPr>
        <w:t>严格落实中央八项规定实施细则，持之以恒纠治形式主义和官僚主义，驰而不息反四风、转作风、树新风，持续保持正风肃纪反腐的高压态势。</w:t>
      </w:r>
    </w:p>
    <w:p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二是以项目建设为抓手，体现白霓速度。</w:t>
      </w:r>
      <w:r>
        <w:rPr>
          <w:rFonts w:cs="仿宋_GB2312" w:asciiTheme="majorEastAsia" w:hAnsiTheme="majorEastAsia" w:eastAsiaTheme="majorEastAsia"/>
          <w:sz w:val="30"/>
          <w:szCs w:val="30"/>
        </w:rPr>
        <w:t>千方百计引进项目、引回能人、引入资金，力争2020年招商引资总额达到10亿元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，</w:t>
      </w:r>
      <w:r>
        <w:rPr>
          <w:rFonts w:cs="仿宋_GB2312" w:asciiTheme="majorEastAsia" w:hAnsiTheme="majorEastAsia" w:eastAsiaTheme="majorEastAsia"/>
          <w:sz w:val="30"/>
          <w:szCs w:val="30"/>
        </w:rPr>
        <w:t>重点项目达到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20</w:t>
      </w:r>
      <w:r>
        <w:rPr>
          <w:rFonts w:cs="仿宋_GB2312" w:asciiTheme="majorEastAsia" w:hAnsiTheme="majorEastAsia" w:eastAsiaTheme="majorEastAsia"/>
          <w:sz w:val="30"/>
          <w:szCs w:val="30"/>
        </w:rPr>
        <w:t>个。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积极</w:t>
      </w:r>
      <w:r>
        <w:rPr>
          <w:rFonts w:cs="仿宋_GB2312" w:asciiTheme="majorEastAsia" w:hAnsiTheme="majorEastAsia" w:eastAsiaTheme="majorEastAsia"/>
          <w:sz w:val="30"/>
          <w:szCs w:val="30"/>
        </w:rPr>
        <w:t>推进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健发电器生产线、天之城玻璃钢制品生产线、后溪食品工业园等工业项目，大力推进大市蔬菜水果种植观光园、歇马山雷竹园、浪口浪漫花海、回头岭黄花基地、桃花坪蔬菜药材基地、小港大棚蔬菜基地等农业项目，深入推进白霓镇油市小自然田园综合体、浪口地球仓、边塞殷家电商服务街、大美大市旅游开发、“忘忧谷”风景区、维地生态“百果园”、回头岭乡村公园等旅游项目，扎实推进白霓集镇改造、白霓福利院改造、金龙山公园、城东学校等民生项目，全力推进白霓绿道系统、小港大桥连接线、106国道升级改造、后溪大道-106国道道路拓宽等交通项目，通过项目建设推进经济社会全面发展</w:t>
      </w:r>
      <w:r>
        <w:rPr>
          <w:rFonts w:cs="仿宋_GB2312" w:asciiTheme="majorEastAsia" w:hAnsiTheme="majorEastAsia" w:eastAsiaTheme="majorEastAsia"/>
          <w:sz w:val="30"/>
          <w:szCs w:val="30"/>
        </w:rPr>
        <w:t>。</w:t>
      </w:r>
    </w:p>
    <w:p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三是以乡村振兴为中心，打造白霓样板。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学习</w:t>
      </w:r>
      <w:r>
        <w:rPr>
          <w:rFonts w:cs="仿宋_GB2312" w:asciiTheme="majorEastAsia" w:hAnsiTheme="majorEastAsia" w:eastAsiaTheme="majorEastAsia"/>
          <w:sz w:val="30"/>
          <w:szCs w:val="30"/>
        </w:rPr>
        <w:t>借鉴浙江“千村示范、万村整治”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成功</w:t>
      </w:r>
      <w:r>
        <w:rPr>
          <w:rFonts w:cs="仿宋_GB2312" w:asciiTheme="majorEastAsia" w:hAnsiTheme="majorEastAsia" w:eastAsiaTheme="majorEastAsia"/>
          <w:sz w:val="30"/>
          <w:szCs w:val="30"/>
        </w:rPr>
        <w:t>经验，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围绕乡村振兴“二十字”方针，以打造全域旅游和全民健身为主线，以文化白霓和健身白霓为品牌、以“一心一圈四区”为重点（一心一圈四区：即完成集镇中心改造，打造白霓绿道、健身、旅游循环圈，实施东部乡村文化旅游区、南部农耕文化旅游区、西部温泉旅游度假区、北部原生态保护区建设），着力打造东部大市匠艺小镇、王世杰故居公园，南部谭家红枫小镇、油市田园综合体、洪泉演艺小镇，西部浪口温泉小镇，北部纸棚森林小镇，同时做到点、线、面结合，将精品村、示范村、整治村全面串联，将产业基地、风景名胜、传统文化等元素全面融合，构建白霓交通循环圈、健身循环圈、旅游循环圈。</w:t>
      </w:r>
    </w:p>
    <w:p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四是以文化旅游为品牌，展示白霓魅力。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充分挖掘白霓古街、古桥、古物、古堰、历史名人等文化元素，坚持保护文物、传承文明、发展文化有机结合，全方位展示白霓形象，打造成文化旅游名胜地。一是以白霓集镇古街、白霓古桥为中心，推进白霓集镇改造升级；二是以大市铜鼓、大市渡槽为亮点，建设大市铜鼓出土地纪念馆、石匠工坊、水利文化教育研学基地；三是以回头岭王世杰故居、老康甘家提琴戏、虎头冲古民居群为焦点，完成王世杰故居布展和珞珈源建设，打造一批小提琴戏舞台实现经常性演出，推进虎头冲古民居群修缮工程，建设回头岭乡贤文化展示馆；四是以远陂堰、石枧堰等水利工程为重点，加强水利基础设施建设和水利文化教育长廊建设。</w:t>
      </w:r>
    </w:p>
    <w:p>
      <w:pPr>
        <w:spacing w:line="560" w:lineRule="exact"/>
        <w:ind w:right="210" w:rightChars="100" w:firstLine="602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楷体" w:asciiTheme="majorEastAsia" w:hAnsiTheme="majorEastAsia" w:eastAsiaTheme="majorEastAsia"/>
          <w:b/>
          <w:bCs/>
          <w:sz w:val="30"/>
          <w:szCs w:val="30"/>
        </w:rPr>
        <w:t>五是以乡村治理为保障，探索白霓模式。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紧扣十九届四中全会精神，创新探索基层治理体系，不断提高基层干部治理能力，推进治理体系和治理能力现代化。扎实做好信访维稳工作，着力解决一批热点难点问题，着力化解一批历史遗留问题，紧紧围绕重点群体和重要时间节点，确保赴省进京“零上访”；警钟长鸣做好安全生产工作，实现安全生产“零事故”；常抓不懈做好环境保护工作，深化工业污染、畜禽污染、扬尘污染等领域整治，实现生态环境极大提升。坚持自治、德治、法治相结合，加强</w:t>
      </w:r>
      <w:r>
        <w:rPr>
          <w:rFonts w:cs="仿宋_GB2312" w:asciiTheme="majorEastAsia" w:hAnsiTheme="majorEastAsia" w:eastAsiaTheme="majorEastAsia"/>
          <w:sz w:val="30"/>
          <w:szCs w:val="30"/>
        </w:rPr>
        <w:t>村民自治规范化制度化建设，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充分发挥乡贤理事会作用，通过“湾子夜话”“屋堂会”等载体，进一步</w:t>
      </w:r>
      <w:r>
        <w:rPr>
          <w:rFonts w:cs="仿宋_GB2312" w:asciiTheme="majorEastAsia" w:hAnsiTheme="majorEastAsia" w:eastAsiaTheme="majorEastAsia"/>
          <w:sz w:val="30"/>
          <w:szCs w:val="30"/>
        </w:rPr>
        <w:t>完善村规民约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，健全红白喜事理事会；立足大白片区人口聚集、交通方便、老龄人较多实际情况，探索建设桥头幸福食堂；积极倡导文明新风，通过浪口、后溪、大塘等村示范带动，逐步实现全镇域禁塑，积极推进集镇区域禁鞭，鼓励各村湾实行禁鞭。</w:t>
      </w:r>
      <w:r>
        <w:rPr>
          <w:rFonts w:cs="仿宋_GB2312" w:asciiTheme="majorEastAsia" w:hAnsiTheme="majorEastAsia" w:eastAsiaTheme="majorEastAsia"/>
          <w:sz w:val="30"/>
          <w:szCs w:val="30"/>
        </w:rPr>
        <w:t>深化拓展群众性精神文明创建活动，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进行</w:t>
      </w:r>
      <w:r>
        <w:rPr>
          <w:rFonts w:cs="仿宋_GB2312" w:asciiTheme="majorEastAsia" w:hAnsiTheme="majorEastAsia" w:eastAsiaTheme="majorEastAsia"/>
          <w:sz w:val="30"/>
          <w:szCs w:val="30"/>
        </w:rPr>
        <w:t>最美家庭、最美村湾、最美媳妇等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最美系列评选</w:t>
      </w:r>
      <w:r>
        <w:rPr>
          <w:rFonts w:cs="仿宋_GB2312" w:asciiTheme="majorEastAsia" w:hAnsiTheme="majorEastAsia" w:eastAsiaTheme="majorEastAsia"/>
          <w:sz w:val="30"/>
          <w:szCs w:val="30"/>
        </w:rPr>
        <w:t>，挖掘和树立道德榜样典型；大力实施“一五一十”工程，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加强文明实践中心建设，</w:t>
      </w:r>
      <w:r>
        <w:rPr>
          <w:rFonts w:cs="仿宋_GB2312" w:asciiTheme="majorEastAsia" w:hAnsiTheme="majorEastAsia" w:eastAsiaTheme="majorEastAsia"/>
          <w:sz w:val="30"/>
          <w:szCs w:val="30"/>
        </w:rPr>
        <w:t>不断加强群众性文化活动阵地建设，支持建设文化礼堂、文化广场等设施，深入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开展马拉松比赛、农民趣味运动会、拔河比赛、广场舞比赛、唱山歌比赛、篮球比赛等活动，</w:t>
      </w:r>
      <w:r>
        <w:rPr>
          <w:rFonts w:cs="仿宋_GB2312" w:asciiTheme="majorEastAsia" w:hAnsiTheme="majorEastAsia" w:eastAsiaTheme="majorEastAsia"/>
          <w:sz w:val="30"/>
          <w:szCs w:val="30"/>
        </w:rPr>
        <w:t>不断丰富群众文化生活。</w:t>
      </w:r>
    </w:p>
    <w:p>
      <w:pPr>
        <w:spacing w:line="560" w:lineRule="exact"/>
        <w:ind w:right="210" w:rightChars="10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简要概述年度部门整体绩效目标</w:t>
      </w:r>
    </w:p>
    <w:p>
      <w:pPr>
        <w:spacing w:line="560" w:lineRule="exact"/>
        <w:ind w:right="210" w:rightChars="100"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202</w:t>
      </w:r>
      <w:r>
        <w:rPr>
          <w:rFonts w:cs="仿宋_GB2312" w:asciiTheme="minorEastAsia" w:hAnsiTheme="minorEastAsia" w:eastAsiaTheme="minorEastAsia"/>
          <w:sz w:val="30"/>
          <w:szCs w:val="30"/>
        </w:rPr>
        <w:t>0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，白霓镇将在县委的坚强领导下，以习近平新时代中国特色社会主义思想为指引，深入贯彻落实党的十九大和十九届二中、三中、四中全会精神，以干在实处、走在前列的勇气和担当，持续巩固脱贫攻坚成果，全面对标小康社会建设指标补齐短板，持续打好打赢污染防治、防范化解重大风险攻坚战，以文化白霓和健身白霓为品牌、以“一心一圈四区”为重点（一心一圈四区：即集镇中心，白霓健身绿道循环圈，东部乡村文化旅游区、西部温泉旅游度假区、南部农耕文化旅游区、北部原生态保护区），打造乡村振兴白霓样板，持续推进小微企业转型升级、农业产业做特做强、旅游产业做优做活，推进白霓高质量发展，确保如期全面建成小康社会。</w:t>
      </w:r>
    </w:p>
    <w:p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（二）部门绩效自评工作开展情况</w:t>
      </w:r>
    </w:p>
    <w:p>
      <w:pPr>
        <w:ind w:right="210" w:rightChars="1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1、前期工作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学习崇阳县财政局印发的《县财政局关于开展2020年度财政支出项目和部门整体支出绩效自评工作的通知》（崇财发【2021】3号）文件精神，按照2020年崇阳县全面实施预算绩效管理工作指南要求，根据绩效自评的范围和对象，拟定组织实施方案，明确开展绩效自评的指标体系、工作流程、工作时限、自评结果应用等内容，认真开展绩效自评工作。</w:t>
      </w:r>
    </w:p>
    <w:p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2、成立评价小组。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为顺利推进2020年财政支出项目和部门整体支出绩效自评，本单位成立了绩效评价小组，由镇长廖志斌担任组长，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尧清文为副组长，办公室主任王旦，姜思路，汪泽琛，曾彩霞为小组成员。</w:t>
      </w:r>
    </w:p>
    <w:p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3、收集相关资料。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为全面完成此项自评工作，我单位组织已收集相关的佐证材料；2020年县委及县政府布置工作任务文件、2020年预算报表及说明，2020年决算报表、2020年工作计划及年终总结、年内召开的部分会议通知等。</w:t>
      </w:r>
    </w:p>
    <w:p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4、组织实施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自评打分。工作组成员、办公室按照财政部门提供的自评评价方案中设定的指标及计算方法，依据收集到的有关资料，对自评项目进行初步打分。</w:t>
      </w:r>
    </w:p>
    <w:p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5、自评小组审核。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评价小组根据自评打分情况，逐项指标进行审核确定，并自我总结，得出结论，完成绩效评价实施过程。</w:t>
      </w:r>
    </w:p>
    <w:p>
      <w:pPr>
        <w:ind w:right="210" w:right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6、评价结论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根据考核评分细则，从整体上看，我单位政策执行合理，资金管理较为规范，有效发挥了财政资金的使用效率，促进了全县经济建设的加速发展。</w:t>
      </w:r>
    </w:p>
    <w:p>
      <w:pPr>
        <w:ind w:right="210" w:rightChars="1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b/>
          <w:bCs/>
          <w:sz w:val="30"/>
          <w:szCs w:val="30"/>
        </w:rPr>
        <w:t>（三）绩效目标完成情况分析</w:t>
      </w:r>
    </w:p>
    <w:p>
      <w:pPr>
        <w:ind w:right="210" w:rightChars="100"/>
        <w:outlineLvl w:val="0"/>
        <w:rPr>
          <w:rFonts w:cs="??_GB2312" w:asciiTheme="minorEastAsia" w:hAnsiTheme="minorEastAsia" w:eastAsiaTheme="minorEastAsia"/>
          <w:sz w:val="30"/>
          <w:szCs w:val="30"/>
        </w:rPr>
      </w:pPr>
      <w:r>
        <w:rPr>
          <w:rFonts w:cs="??_GB2312" w:asciiTheme="minorEastAsia" w:hAnsiTheme="minorEastAsia" w:eastAsiaTheme="minorEastAsia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预算执行情况分析（包括完成情况和偏离原因等）。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2020年度部门收入情况：白霓镇人民政府收入</w:t>
      </w:r>
      <w:r>
        <w:rPr>
          <w:rFonts w:cs="仿宋" w:asciiTheme="minorEastAsia" w:hAnsiTheme="minorEastAsia" w:eastAsiaTheme="minorEastAsia"/>
          <w:sz w:val="30"/>
          <w:szCs w:val="30"/>
        </w:rPr>
        <w:t>1970.46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万元。其中：一般公共预算财政拨款</w:t>
      </w:r>
      <w:r>
        <w:rPr>
          <w:rFonts w:cs="仿宋" w:asciiTheme="minorEastAsia" w:hAnsiTheme="minorEastAsia" w:eastAsiaTheme="minorEastAsia"/>
          <w:sz w:val="30"/>
          <w:szCs w:val="30"/>
        </w:rPr>
        <w:t>1336.74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万元，其他收入</w:t>
      </w:r>
      <w:r>
        <w:rPr>
          <w:rFonts w:cs="仿宋" w:asciiTheme="minorEastAsia" w:hAnsiTheme="minorEastAsia" w:eastAsiaTheme="minorEastAsia"/>
          <w:sz w:val="30"/>
          <w:szCs w:val="30"/>
        </w:rPr>
        <w:t>332.68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万元，上年结转</w:t>
      </w:r>
      <w:r>
        <w:rPr>
          <w:rFonts w:cs="仿宋" w:asciiTheme="minorEastAsia" w:hAnsiTheme="minorEastAsia" w:eastAsiaTheme="minorEastAsia"/>
          <w:sz w:val="30"/>
          <w:szCs w:val="30"/>
        </w:rPr>
        <w:t>301.04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ind w:right="210" w:rightChars="100"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2020年度部门支出情况：白霓镇人民政府支出</w:t>
      </w:r>
      <w:r>
        <w:rPr>
          <w:rFonts w:cs="仿宋" w:asciiTheme="minorEastAsia" w:hAnsiTheme="minorEastAsia" w:eastAsiaTheme="minorEastAsia"/>
          <w:sz w:val="30"/>
          <w:szCs w:val="30"/>
        </w:rPr>
        <w:t>1641.07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万元。其中：基本支出</w:t>
      </w:r>
      <w:r>
        <w:rPr>
          <w:rFonts w:cs="仿宋" w:asciiTheme="minorEastAsia" w:hAnsiTheme="minorEastAsia" w:eastAsiaTheme="minorEastAsia"/>
          <w:sz w:val="30"/>
          <w:szCs w:val="30"/>
        </w:rPr>
        <w:t>874.14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万元，项目支出</w:t>
      </w:r>
      <w:r>
        <w:rPr>
          <w:rFonts w:cs="仿宋" w:asciiTheme="minorEastAsia" w:hAnsiTheme="minorEastAsia" w:eastAsiaTheme="minorEastAsia"/>
          <w:sz w:val="30"/>
          <w:szCs w:val="30"/>
        </w:rPr>
        <w:t>766.93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万元，年末结转</w:t>
      </w:r>
      <w:r>
        <w:rPr>
          <w:rFonts w:cs="仿宋" w:asciiTheme="minorEastAsia" w:hAnsiTheme="minorEastAsia" w:eastAsiaTheme="minorEastAsia"/>
          <w:sz w:val="30"/>
          <w:szCs w:val="30"/>
        </w:rPr>
        <w:t>329.39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spacing w:line="560" w:lineRule="exact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偏离原因：预算编制不够精细，实际执行预算编制内容时，当年项目执行的工作任务有所变化，实际需求量需要做调整。</w:t>
      </w:r>
    </w:p>
    <w:p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结余资金明细如下：基本支出结余2</w:t>
      </w:r>
      <w:r>
        <w:rPr>
          <w:rFonts w:asciiTheme="minorEastAsia" w:hAnsiTheme="minorEastAsia" w:eastAsiaTheme="minorEastAsia"/>
          <w:sz w:val="30"/>
          <w:szCs w:val="30"/>
        </w:rPr>
        <w:t>07.94</w:t>
      </w:r>
      <w:r>
        <w:rPr>
          <w:rFonts w:hint="eastAsia" w:asciiTheme="minorEastAsia" w:hAnsiTheme="minorEastAsia" w:eastAsiaTheme="minorEastAsia"/>
          <w:sz w:val="30"/>
          <w:szCs w:val="30"/>
        </w:rPr>
        <w:t>万元，项目支出结余1</w:t>
      </w:r>
      <w:r>
        <w:rPr>
          <w:rFonts w:asciiTheme="minorEastAsia" w:hAnsiTheme="minorEastAsia" w:eastAsiaTheme="minorEastAsia"/>
          <w:sz w:val="30"/>
          <w:szCs w:val="30"/>
        </w:rPr>
        <w:t>21.45</w:t>
      </w:r>
      <w:r>
        <w:rPr>
          <w:rFonts w:hint="eastAsia" w:asciiTheme="minorEastAsia" w:hAnsiTheme="minorEastAsia" w:eastAsiaTheme="minorEastAsia"/>
          <w:sz w:val="30"/>
          <w:szCs w:val="30"/>
        </w:rPr>
        <w:t>万元。</w:t>
      </w:r>
    </w:p>
    <w:p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预算执行情况如下： </w:t>
      </w:r>
    </w:p>
    <w:p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（1）基本支出</w:t>
      </w:r>
      <w:r>
        <w:rPr>
          <w:rFonts w:cs="仿宋" w:asciiTheme="minorEastAsia" w:hAnsiTheme="minorEastAsia" w:eastAsiaTheme="minorEastAsia"/>
          <w:sz w:val="30"/>
          <w:szCs w:val="30"/>
        </w:rPr>
        <w:t>874.14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工资福利支出</w:t>
      </w:r>
      <w:r>
        <w:rPr>
          <w:rFonts w:cs="仿宋" w:asciiTheme="minorEastAsia" w:hAnsiTheme="minorEastAsia" w:eastAsiaTheme="minorEastAsia"/>
          <w:sz w:val="30"/>
          <w:szCs w:val="30"/>
        </w:rPr>
        <w:t>652.57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万元。其中：基本工资</w:t>
      </w:r>
      <w:r>
        <w:rPr>
          <w:rFonts w:cs="仿宋" w:asciiTheme="minorEastAsia" w:hAnsiTheme="minorEastAsia" w:eastAsiaTheme="minorEastAsia"/>
          <w:sz w:val="30"/>
          <w:szCs w:val="30"/>
        </w:rPr>
        <w:t>106.32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万元，津贴补贴</w:t>
      </w:r>
      <w:r>
        <w:rPr>
          <w:rFonts w:cs="仿宋" w:asciiTheme="minorEastAsia" w:hAnsiTheme="minorEastAsia" w:eastAsiaTheme="minorEastAsia"/>
          <w:sz w:val="30"/>
          <w:szCs w:val="30"/>
        </w:rPr>
        <w:t>151.46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万元，奖金</w:t>
      </w:r>
      <w:r>
        <w:rPr>
          <w:rFonts w:cs="仿宋" w:asciiTheme="minorEastAsia" w:hAnsiTheme="minorEastAsia" w:eastAsiaTheme="minorEastAsia"/>
          <w:sz w:val="30"/>
          <w:szCs w:val="30"/>
        </w:rPr>
        <w:t>135.48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万元，伙食补助费</w:t>
      </w:r>
      <w:r>
        <w:rPr>
          <w:rFonts w:cs="仿宋" w:asciiTheme="minorEastAsia" w:hAnsiTheme="minorEastAsia" w:eastAsiaTheme="minorEastAsia"/>
          <w:sz w:val="30"/>
          <w:szCs w:val="30"/>
        </w:rPr>
        <w:t>15.79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万元，机关事业养老保险缴费</w:t>
      </w:r>
      <w:r>
        <w:rPr>
          <w:rFonts w:cs="仿宋" w:asciiTheme="minorEastAsia" w:hAnsiTheme="minorEastAsia" w:eastAsiaTheme="minorEastAsia"/>
          <w:sz w:val="30"/>
          <w:szCs w:val="30"/>
        </w:rPr>
        <w:t>59.4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万元，职业年金缴费</w:t>
      </w:r>
      <w:r>
        <w:rPr>
          <w:rFonts w:cs="仿宋" w:asciiTheme="minorEastAsia" w:hAnsiTheme="minorEastAsia" w:eastAsiaTheme="minorEastAsia"/>
          <w:sz w:val="30"/>
          <w:szCs w:val="30"/>
        </w:rPr>
        <w:t>14.38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万元，职工基本医疗保险缴费3</w:t>
      </w:r>
      <w:r>
        <w:rPr>
          <w:rFonts w:cs="仿宋" w:asciiTheme="minorEastAsia" w:hAnsiTheme="minorEastAsia" w:eastAsiaTheme="minorEastAsia"/>
          <w:sz w:val="30"/>
          <w:szCs w:val="30"/>
        </w:rPr>
        <w:t>7.9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万元，其他社会保障缴费</w:t>
      </w:r>
      <w:r>
        <w:rPr>
          <w:rFonts w:cs="仿宋" w:asciiTheme="minorEastAsia" w:hAnsiTheme="minorEastAsia" w:eastAsiaTheme="minorEastAsia"/>
          <w:sz w:val="30"/>
          <w:szCs w:val="30"/>
        </w:rPr>
        <w:t>5.86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万元，住房公积金</w:t>
      </w:r>
      <w:r>
        <w:rPr>
          <w:rFonts w:cs="仿宋" w:asciiTheme="minorEastAsia" w:hAnsiTheme="minorEastAsia" w:eastAsiaTheme="minorEastAsia"/>
          <w:sz w:val="30"/>
          <w:szCs w:val="30"/>
        </w:rPr>
        <w:t>45.22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万元，其他工资福利支出</w:t>
      </w:r>
      <w:r>
        <w:rPr>
          <w:rFonts w:cs="仿宋" w:asciiTheme="minorEastAsia" w:hAnsiTheme="minorEastAsia" w:eastAsiaTheme="minorEastAsia"/>
          <w:sz w:val="30"/>
          <w:szCs w:val="30"/>
        </w:rPr>
        <w:t>80.76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万元；</w:t>
      </w:r>
    </w:p>
    <w:p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93.86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万元。其中：办公费</w:t>
      </w:r>
      <w:r>
        <w:rPr>
          <w:rFonts w:cs="仿宋" w:asciiTheme="minorEastAsia" w:hAnsiTheme="minorEastAsia" w:eastAsiaTheme="minorEastAsia"/>
          <w:sz w:val="30"/>
          <w:szCs w:val="30"/>
        </w:rPr>
        <w:t>9.08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万元，询费</w:t>
      </w:r>
      <w:r>
        <w:rPr>
          <w:rFonts w:cs="仿宋" w:asciiTheme="minorEastAsia" w:hAnsiTheme="minorEastAsia" w:eastAsiaTheme="minorEastAsia"/>
          <w:sz w:val="30"/>
          <w:szCs w:val="30"/>
        </w:rPr>
        <w:t>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万元，手续费0</w:t>
      </w:r>
      <w:r>
        <w:rPr>
          <w:rFonts w:cs="仿宋" w:asciiTheme="minorEastAsia" w:hAnsiTheme="minorEastAsia" w:eastAsiaTheme="minorEastAsia"/>
          <w:sz w:val="30"/>
          <w:szCs w:val="30"/>
        </w:rPr>
        <w:t>.03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万元，电费</w:t>
      </w:r>
      <w:r>
        <w:rPr>
          <w:rFonts w:cs="仿宋" w:asciiTheme="minorEastAsia" w:hAnsiTheme="minorEastAsia" w:eastAsiaTheme="minorEastAsia"/>
          <w:sz w:val="30"/>
          <w:szCs w:val="30"/>
        </w:rPr>
        <w:t>1.34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万元，邮电费</w:t>
      </w:r>
      <w:r>
        <w:rPr>
          <w:rFonts w:cs="仿宋" w:asciiTheme="minorEastAsia" w:hAnsiTheme="minorEastAsia" w:eastAsiaTheme="minorEastAsia"/>
          <w:sz w:val="30"/>
          <w:szCs w:val="30"/>
        </w:rPr>
        <w:t>1.3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万元，差旅费3</w:t>
      </w:r>
      <w:r>
        <w:rPr>
          <w:rFonts w:cs="仿宋" w:asciiTheme="minorEastAsia" w:hAnsiTheme="minorEastAsia" w:eastAsiaTheme="minorEastAsia"/>
          <w:sz w:val="30"/>
          <w:szCs w:val="30"/>
        </w:rPr>
        <w:t>.58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万元，维修（护）费</w:t>
      </w:r>
      <w:r>
        <w:rPr>
          <w:rFonts w:cs="仿宋" w:asciiTheme="minorEastAsia" w:hAnsiTheme="minorEastAsia" w:eastAsiaTheme="minorEastAsia"/>
          <w:sz w:val="30"/>
          <w:szCs w:val="30"/>
        </w:rPr>
        <w:t>0.8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万元，租赁费3</w:t>
      </w:r>
      <w:r>
        <w:rPr>
          <w:rFonts w:cs="仿宋" w:asciiTheme="minorEastAsia" w:hAnsiTheme="minorEastAsia" w:eastAsiaTheme="minorEastAsia"/>
          <w:sz w:val="30"/>
          <w:szCs w:val="30"/>
        </w:rPr>
        <w:t>.75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万元，会议费</w:t>
      </w:r>
      <w:r>
        <w:rPr>
          <w:rFonts w:cs="仿宋" w:asciiTheme="minorEastAsia" w:hAnsiTheme="minorEastAsia" w:eastAsiaTheme="minorEastAsia"/>
          <w:sz w:val="30"/>
          <w:szCs w:val="30"/>
        </w:rPr>
        <w:t>2.18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万元，培训费0</w:t>
      </w:r>
      <w:r>
        <w:rPr>
          <w:rFonts w:cs="仿宋" w:asciiTheme="minorEastAsia" w:hAnsiTheme="minorEastAsia" w:eastAsiaTheme="minorEastAsia"/>
          <w:sz w:val="30"/>
          <w:szCs w:val="30"/>
        </w:rPr>
        <w:t>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万元，公务接待费</w:t>
      </w:r>
      <w:r>
        <w:rPr>
          <w:rFonts w:cs="仿宋" w:asciiTheme="minorEastAsia" w:hAnsiTheme="minorEastAsia" w:eastAsiaTheme="minorEastAsia"/>
          <w:sz w:val="30"/>
          <w:szCs w:val="30"/>
        </w:rPr>
        <w:t>2.18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万元，专用材料费</w:t>
      </w:r>
      <w:r>
        <w:rPr>
          <w:rFonts w:cs="仿宋" w:asciiTheme="minorEastAsia" w:hAnsiTheme="minorEastAsia" w:eastAsiaTheme="minorEastAsia"/>
          <w:sz w:val="30"/>
          <w:szCs w:val="30"/>
        </w:rPr>
        <w:t>0.98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万元，专用燃料费1</w:t>
      </w:r>
      <w:r>
        <w:rPr>
          <w:rFonts w:cs="仿宋" w:asciiTheme="minorEastAsia" w:hAnsiTheme="minorEastAsia" w:eastAsiaTheme="minorEastAsia"/>
          <w:sz w:val="30"/>
          <w:szCs w:val="30"/>
        </w:rPr>
        <w:t>.43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万元，劳务费</w:t>
      </w:r>
      <w:r>
        <w:rPr>
          <w:rFonts w:cs="仿宋" w:asciiTheme="minorEastAsia" w:hAnsiTheme="minorEastAsia" w:eastAsiaTheme="minorEastAsia"/>
          <w:sz w:val="30"/>
          <w:szCs w:val="30"/>
        </w:rPr>
        <w:t>3.71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万元，委托业务费</w:t>
      </w:r>
      <w:r>
        <w:rPr>
          <w:rFonts w:cs="仿宋" w:asciiTheme="minorEastAsia" w:hAnsiTheme="minorEastAsia" w:eastAsiaTheme="minorEastAsia"/>
          <w:sz w:val="30"/>
          <w:szCs w:val="30"/>
        </w:rPr>
        <w:t>11.5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万元，工会经费</w:t>
      </w:r>
      <w:r>
        <w:rPr>
          <w:rFonts w:cs="仿宋" w:asciiTheme="minorEastAsia" w:hAnsiTheme="minorEastAsia" w:eastAsiaTheme="minorEastAsia"/>
          <w:sz w:val="30"/>
          <w:szCs w:val="30"/>
        </w:rPr>
        <w:t>10.41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万元，公务用车维护费</w:t>
      </w:r>
      <w:r>
        <w:rPr>
          <w:rFonts w:cs="仿宋" w:asciiTheme="minorEastAsia" w:hAnsiTheme="minorEastAsia" w:eastAsiaTheme="minorEastAsia"/>
          <w:sz w:val="30"/>
          <w:szCs w:val="30"/>
        </w:rPr>
        <w:t>8.06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万元，其他交通费用</w:t>
      </w:r>
      <w:r>
        <w:rPr>
          <w:rFonts w:cs="仿宋" w:asciiTheme="minorEastAsia" w:hAnsiTheme="minorEastAsia" w:eastAsiaTheme="minorEastAsia"/>
          <w:sz w:val="30"/>
          <w:szCs w:val="30"/>
        </w:rPr>
        <w:t>4.51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24.52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对个人和家庭的补助</w:t>
      </w:r>
      <w:r>
        <w:rPr>
          <w:rFonts w:cs="仿宋" w:asciiTheme="minorEastAsia" w:hAnsiTheme="minorEastAsia" w:eastAsiaTheme="minorEastAsia"/>
          <w:sz w:val="30"/>
          <w:szCs w:val="30"/>
        </w:rPr>
        <w:t>72.07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万元。其中：退休费6</w:t>
      </w:r>
      <w:r>
        <w:rPr>
          <w:rFonts w:cs="仿宋" w:asciiTheme="minorEastAsia" w:hAnsiTheme="minorEastAsia" w:eastAsiaTheme="minorEastAsia"/>
          <w:sz w:val="30"/>
          <w:szCs w:val="30"/>
        </w:rPr>
        <w:t>0.35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万元，生活补助</w:t>
      </w:r>
      <w:r>
        <w:rPr>
          <w:rFonts w:cs="仿宋" w:asciiTheme="minorEastAsia" w:hAnsiTheme="minorEastAsia" w:eastAsiaTheme="minorEastAsia"/>
          <w:sz w:val="30"/>
          <w:szCs w:val="30"/>
        </w:rPr>
        <w:t>10.71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万元，医疗费补助</w:t>
      </w:r>
      <w:r>
        <w:rPr>
          <w:rFonts w:cs="仿宋" w:asciiTheme="minorEastAsia" w:hAnsiTheme="minorEastAsia" w:eastAsiaTheme="minorEastAsia"/>
          <w:sz w:val="30"/>
          <w:szCs w:val="30"/>
        </w:rPr>
        <w:t>0.06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万元，其他对个人和家庭的补助</w:t>
      </w:r>
      <w:r>
        <w:rPr>
          <w:rFonts w:cs="仿宋" w:asciiTheme="minorEastAsia" w:hAnsiTheme="minorEastAsia" w:eastAsiaTheme="minorEastAsia"/>
          <w:sz w:val="30"/>
          <w:szCs w:val="30"/>
        </w:rPr>
        <w:t>0.95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pStyle w:val="8"/>
        <w:numPr>
          <w:ilvl w:val="0"/>
          <w:numId w:val="1"/>
        </w:numPr>
        <w:ind w:left="0" w:right="210" w:rightChars="100" w:firstLineChars="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资本性支出0</w:t>
      </w:r>
      <w:r>
        <w:rPr>
          <w:rFonts w:cs="仿宋" w:asciiTheme="minorEastAsia" w:hAnsiTheme="minorEastAsia" w:eastAsiaTheme="minorEastAsia"/>
          <w:sz w:val="30"/>
          <w:szCs w:val="30"/>
        </w:rPr>
        <w:t>.88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万元，其中办公设备购置0</w:t>
      </w:r>
      <w:r>
        <w:rPr>
          <w:rFonts w:cs="仿宋" w:asciiTheme="minorEastAsia" w:hAnsiTheme="minorEastAsia" w:eastAsiaTheme="minorEastAsia"/>
          <w:sz w:val="30"/>
          <w:szCs w:val="30"/>
        </w:rPr>
        <w:t>.88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ind w:right="210" w:rightChars="10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⑤其他支出5</w:t>
      </w:r>
      <w:r>
        <w:rPr>
          <w:rFonts w:cs="仿宋" w:asciiTheme="minorEastAsia" w:hAnsiTheme="minorEastAsia" w:eastAsiaTheme="minorEastAsia"/>
          <w:sz w:val="30"/>
          <w:szCs w:val="30"/>
        </w:rPr>
        <w:t>4.76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万元，其中对民间非营利组织和群众性自治组织补贴</w:t>
      </w:r>
      <w:r>
        <w:rPr>
          <w:rFonts w:cs="仿宋" w:asciiTheme="minorEastAsia" w:hAnsiTheme="minorEastAsia" w:eastAsiaTheme="minorEastAsia"/>
          <w:sz w:val="30"/>
          <w:szCs w:val="30"/>
        </w:rPr>
        <w:t>54.76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ind w:right="210" w:rightChars="100"/>
        <w:jc w:val="left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（2）项目支出</w:t>
      </w:r>
      <w:r>
        <w:rPr>
          <w:rFonts w:cs="仿宋" w:asciiTheme="minorEastAsia" w:hAnsiTheme="minorEastAsia" w:eastAsiaTheme="minorEastAsia"/>
          <w:sz w:val="30"/>
          <w:szCs w:val="30"/>
        </w:rPr>
        <w:t>766.93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①商品和服务支出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137.39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万元。其中：办公费</w:t>
      </w:r>
      <w:r>
        <w:rPr>
          <w:rFonts w:cs="仿宋" w:asciiTheme="minorEastAsia" w:hAnsiTheme="minorEastAsia" w:eastAsiaTheme="minorEastAsia"/>
          <w:sz w:val="30"/>
          <w:szCs w:val="30"/>
        </w:rPr>
        <w:t>1.52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万元，印刷费3万元，邮电费0</w:t>
      </w:r>
      <w:r>
        <w:rPr>
          <w:rFonts w:cs="仿宋" w:asciiTheme="minorEastAsia" w:hAnsiTheme="minorEastAsia" w:eastAsiaTheme="minorEastAsia"/>
          <w:sz w:val="30"/>
          <w:szCs w:val="30"/>
        </w:rPr>
        <w:t>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万元，会议费0</w:t>
      </w:r>
      <w:r>
        <w:rPr>
          <w:rFonts w:cs="仿宋" w:asciiTheme="minorEastAsia" w:hAnsiTheme="minorEastAsia" w:eastAsiaTheme="minorEastAsia"/>
          <w:sz w:val="30"/>
          <w:szCs w:val="30"/>
        </w:rPr>
        <w:t>.3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万元，培训费0</w:t>
      </w:r>
      <w:r>
        <w:rPr>
          <w:rFonts w:cs="仿宋" w:asciiTheme="minorEastAsia" w:hAnsiTheme="minorEastAsia" w:eastAsiaTheme="minorEastAsia"/>
          <w:sz w:val="30"/>
          <w:szCs w:val="30"/>
        </w:rPr>
        <w:t>.03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万元，专用材料费</w:t>
      </w:r>
      <w:r>
        <w:rPr>
          <w:rFonts w:cs="仿宋" w:asciiTheme="minorEastAsia" w:hAnsiTheme="minorEastAsia" w:eastAsiaTheme="minorEastAsia"/>
          <w:sz w:val="30"/>
          <w:szCs w:val="30"/>
        </w:rPr>
        <w:t>0.72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万元，劳务费</w:t>
      </w:r>
      <w:r>
        <w:rPr>
          <w:rFonts w:cs="仿宋" w:asciiTheme="minorEastAsia" w:hAnsiTheme="minorEastAsia" w:eastAsiaTheme="minorEastAsia"/>
          <w:sz w:val="30"/>
          <w:szCs w:val="30"/>
        </w:rPr>
        <w:t>24.96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万元，委托业务费</w:t>
      </w:r>
      <w:r>
        <w:rPr>
          <w:rFonts w:cs="仿宋" w:asciiTheme="minorEastAsia" w:hAnsiTheme="minorEastAsia" w:eastAsiaTheme="minorEastAsia"/>
          <w:sz w:val="30"/>
          <w:szCs w:val="30"/>
        </w:rPr>
        <w:t>69.37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万元，其他交通费用</w:t>
      </w:r>
      <w:r>
        <w:rPr>
          <w:rFonts w:cs="仿宋" w:asciiTheme="minorEastAsia" w:hAnsiTheme="minorEastAsia" w:eastAsiaTheme="minorEastAsia"/>
          <w:sz w:val="30"/>
          <w:szCs w:val="30"/>
        </w:rPr>
        <w:t>2.71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万元，其他商品和服务支出</w:t>
      </w:r>
      <w:r>
        <w:rPr>
          <w:rFonts w:cs="仿宋" w:asciiTheme="minorEastAsia" w:hAnsiTheme="minorEastAsia" w:eastAsiaTheme="minorEastAsia"/>
          <w:sz w:val="30"/>
          <w:szCs w:val="30"/>
        </w:rPr>
        <w:t>34.5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万元；</w:t>
      </w:r>
    </w:p>
    <w:p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②资本性支出家</w:t>
      </w:r>
      <w:r>
        <w:rPr>
          <w:rFonts w:cs="仿宋" w:asciiTheme="minorEastAsia" w:hAnsiTheme="minorEastAsia" w:eastAsiaTheme="minorEastAsia"/>
          <w:sz w:val="30"/>
          <w:szCs w:val="30"/>
        </w:rPr>
        <w:t>394.74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万元。其中：房屋建筑物构建</w:t>
      </w:r>
      <w:r>
        <w:rPr>
          <w:rFonts w:cs="仿宋" w:asciiTheme="minorEastAsia" w:hAnsiTheme="minorEastAsia" w:eastAsiaTheme="minorEastAsia"/>
          <w:sz w:val="30"/>
          <w:szCs w:val="30"/>
        </w:rPr>
        <w:t>33.54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万元，基础设施建设</w:t>
      </w:r>
      <w:r>
        <w:rPr>
          <w:rFonts w:cs="仿宋" w:asciiTheme="minorEastAsia" w:hAnsiTheme="minorEastAsia" w:eastAsiaTheme="minorEastAsia"/>
          <w:sz w:val="30"/>
          <w:szCs w:val="30"/>
        </w:rPr>
        <w:t>154.13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万元，大型修缮</w:t>
      </w:r>
      <w:r>
        <w:rPr>
          <w:rFonts w:cs="仿宋" w:asciiTheme="minorEastAsia" w:hAnsiTheme="minorEastAsia" w:eastAsiaTheme="minorEastAsia"/>
          <w:sz w:val="30"/>
          <w:szCs w:val="30"/>
        </w:rPr>
        <w:t>10.94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万元，土地补偿</w:t>
      </w:r>
      <w:r>
        <w:rPr>
          <w:rFonts w:cs="仿宋" w:asciiTheme="minorEastAsia" w:hAnsiTheme="minorEastAsia" w:eastAsiaTheme="minorEastAsia"/>
          <w:sz w:val="30"/>
          <w:szCs w:val="30"/>
        </w:rPr>
        <w:t>58.48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万元，地上附着物和青苗补偿</w:t>
      </w:r>
      <w:r>
        <w:rPr>
          <w:rFonts w:cs="仿宋" w:asciiTheme="minorEastAsia" w:hAnsiTheme="minorEastAsia" w:eastAsiaTheme="minorEastAsia"/>
          <w:sz w:val="30"/>
          <w:szCs w:val="30"/>
        </w:rPr>
        <w:t>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万元，拆迁补偿3</w:t>
      </w:r>
      <w:r>
        <w:rPr>
          <w:rFonts w:cs="仿宋" w:asciiTheme="minorEastAsia" w:hAnsiTheme="minorEastAsia" w:eastAsiaTheme="minorEastAsia"/>
          <w:sz w:val="30"/>
          <w:szCs w:val="30"/>
        </w:rPr>
        <w:t>2.45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万元，其他资本性支出</w:t>
      </w:r>
      <w:r>
        <w:rPr>
          <w:rFonts w:cs="仿宋" w:asciiTheme="minorEastAsia" w:hAnsiTheme="minorEastAsia" w:eastAsiaTheme="minorEastAsia"/>
          <w:sz w:val="30"/>
          <w:szCs w:val="30"/>
        </w:rPr>
        <w:t>100.2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万元。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</w:t>
      </w:r>
    </w:p>
    <w:p>
      <w:pPr>
        <w:ind w:right="210" w:rightChars="100"/>
        <w:outlineLvl w:val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③其他支出</w:t>
      </w:r>
      <w:r>
        <w:rPr>
          <w:rFonts w:cs="仿宋" w:asciiTheme="minorEastAsia" w:hAnsiTheme="minorEastAsia" w:eastAsiaTheme="minorEastAsia"/>
          <w:sz w:val="30"/>
          <w:szCs w:val="30"/>
        </w:rPr>
        <w:t>234.8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万元，其中对民间非营利组织和群众性自治组织补贴</w:t>
      </w:r>
      <w:r>
        <w:rPr>
          <w:rFonts w:cs="仿宋" w:asciiTheme="minorEastAsia" w:hAnsiTheme="minorEastAsia" w:eastAsiaTheme="minorEastAsia"/>
          <w:sz w:val="30"/>
          <w:szCs w:val="30"/>
        </w:rPr>
        <w:t>234.8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万元。</w:t>
      </w:r>
    </w:p>
    <w:p>
      <w:pPr>
        <w:spacing w:line="560" w:lineRule="exact"/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2、绩效目标完成情况分析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（1）产出指标完成情况分析。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产出指标应得分</w:t>
      </w:r>
      <w:r>
        <w:rPr>
          <w:rFonts w:asciiTheme="minorEastAsia" w:hAnsiTheme="minorEastAsia" w:eastAsiaTheme="minorEastAsia"/>
          <w:sz w:val="30"/>
          <w:szCs w:val="30"/>
        </w:rPr>
        <w:t>40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40</w:t>
      </w:r>
      <w:r>
        <w:rPr>
          <w:rFonts w:hint="eastAsia" w:asciiTheme="minorEastAsia" w:hAnsiTheme="minorEastAsia" w:eastAsiaTheme="minorEastAsia"/>
          <w:sz w:val="30"/>
          <w:szCs w:val="30"/>
        </w:rPr>
        <w:t>分，具体情况如下：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数量指标, 街镇改造面积年初目标值</w:t>
      </w:r>
      <w:r>
        <w:rPr>
          <w:rFonts w:asciiTheme="minorEastAsia" w:hAnsiTheme="minorEastAsia" w:eastAsiaTheme="minorEastAsia"/>
          <w:sz w:val="30"/>
          <w:szCs w:val="30"/>
        </w:rPr>
        <w:t>10000</w:t>
      </w:r>
      <w:r>
        <w:rPr>
          <w:rFonts w:hint="eastAsia" w:asciiTheme="minorEastAsia" w:hAnsiTheme="minorEastAsia" w:eastAsiaTheme="minorEastAsia"/>
          <w:sz w:val="30"/>
          <w:szCs w:val="30"/>
        </w:rPr>
        <w:t>平方米，2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10000</w:t>
      </w:r>
      <w:r>
        <w:rPr>
          <w:rFonts w:hint="eastAsia" w:asciiTheme="minorEastAsia" w:hAnsiTheme="minorEastAsia" w:eastAsiaTheme="minorEastAsia"/>
          <w:sz w:val="30"/>
          <w:szCs w:val="30"/>
        </w:rPr>
        <w:t>平方米，应得分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分，实际得4分；旅游人数增加率年初目标值≥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分；案件查处率年初目标值</w:t>
      </w:r>
      <w:r>
        <w:rPr>
          <w:rFonts w:asciiTheme="minorEastAsia" w:hAnsiTheme="minorEastAsia" w:eastAsia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年实际完成值9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分；完成招商引资金额年初目标值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万元，2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万元，应得分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成本指标，项目超概算比例年初目标值≤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分；案件破案率年初目标值9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/>
          <w:sz w:val="30"/>
          <w:szCs w:val="30"/>
        </w:rPr>
        <w:t>%，应得分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质量指标，项目建设验收合格率年初目标值1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分；旅游项目验收合格率年初目标值1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分；招商引资完成率年初目标值1</w:t>
      </w:r>
      <w:r>
        <w:rPr>
          <w:rFonts w:asciiTheme="minorEastAsia" w:hAnsiTheme="minorEastAsia" w:eastAsiaTheme="minorEastAsia"/>
          <w:sz w:val="30"/>
          <w:szCs w:val="30"/>
        </w:rPr>
        <w:t>00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（2）效益指标完成情况分析。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效益指标应得分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分，具体情况如下：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效益指标，新增就业率年初目标值≥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分；案件发案下降率年初目标值1%，2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</w:t>
      </w:r>
      <w:r>
        <w:rPr>
          <w:rFonts w:asciiTheme="minorEastAsia" w:hAnsiTheme="minorEastAsia" w:eastAsia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%，应得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旅游产业带动村经济提升年初目标值提升，2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年实际完成值较高提升，应得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分；改善集镇风貌年初目标值良好，2</w:t>
      </w:r>
      <w:r>
        <w:rPr>
          <w:rFonts w:asciiTheme="minorEastAsia" w:hAnsiTheme="minorEastAsia" w:eastAsiaTheme="minorEastAsia"/>
          <w:sz w:val="30"/>
          <w:szCs w:val="30"/>
        </w:rPr>
        <w:t>020</w:t>
      </w:r>
      <w:r>
        <w:rPr>
          <w:rFonts w:hint="eastAsia" w:asciiTheme="minorEastAsia" w:hAnsiTheme="minorEastAsia" w:eastAsiaTheme="minorEastAsia"/>
          <w:sz w:val="30"/>
          <w:szCs w:val="30"/>
        </w:rPr>
        <w:t>年实际完成值优秀，应得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分，实际得分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（3）满意度指标完成情况分析。</w:t>
      </w:r>
    </w:p>
    <w:p>
      <w:pPr>
        <w:spacing w:line="600" w:lineRule="exact"/>
        <w:ind w:right="210" w:rightChars="100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群众对项目的实施，无任何异议，非常满意。应得2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分，实际得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分。</w:t>
      </w:r>
    </w:p>
    <w:p>
      <w:pPr>
        <w:spacing w:line="600" w:lineRule="exact"/>
        <w:ind w:right="210" w:rightChars="1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楷体_GB2312" w:asciiTheme="minorEastAsia" w:hAnsiTheme="minorEastAsia" w:eastAsiaTheme="minorEastAsia"/>
          <w:b/>
          <w:bCs/>
          <w:sz w:val="30"/>
          <w:szCs w:val="30"/>
        </w:rPr>
        <w:t>（四）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上年度部门自评结果应用情况</w:t>
      </w:r>
    </w:p>
    <w:p>
      <w:pPr>
        <w:ind w:right="210" w:right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上年度存在问题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bookmarkStart w:id="0" w:name="_Toc466024974"/>
    </w:p>
    <w:p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1、对预算绩效管理不够重视，没有制定预算绩效管理制度，未明确各岗位人员的职责，将绩效申报作为单纯的工作任务去完成，没有真正计划和实施预算绩效管理。</w:t>
      </w:r>
    </w:p>
    <w:p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、预算编制不够准确，决算编制不够明确，未单独立项编制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600" w:lineRule="exact"/>
        <w:ind w:right="210" w:rightChars="100" w:firstLine="301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2020年度的改进</w:t>
      </w:r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spacing w:line="600" w:lineRule="exact"/>
        <w:ind w:right="210" w:rightChars="100"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2020年度组织全部人员学习《中发[2018]34号》文和其他预算绩效管理文件，认真理解相关要求、学习相关知识，成立预算绩效管理领导小组，完善相关制度，明确职责与要求，全员参与预算绩效目标管理工作，改变由财务人员单打独斗编制预算和绩效目标的现象。</w:t>
      </w:r>
    </w:p>
    <w:p>
      <w:pPr>
        <w:spacing w:line="600" w:lineRule="exact"/>
        <w:ind w:right="210" w:rightChars="100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、2020年度根据绩效目标、指标编制全年工作计划，根据具体工作内容编制预算，提高了预算编制准确性。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sectPr>
      <w:footerReference r:id="rId3" w:type="even"/>
      <w:pgSz w:w="11906" w:h="16838"/>
      <w:pgMar w:top="1440" w:right="1558" w:bottom="1644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A2D17"/>
    <w:multiLevelType w:val="multilevel"/>
    <w:tmpl w:val="6FEA2D17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35"/>
    <w:rsid w:val="00003FDB"/>
    <w:rsid w:val="000216C9"/>
    <w:rsid w:val="000234E8"/>
    <w:rsid w:val="00055D55"/>
    <w:rsid w:val="000629AF"/>
    <w:rsid w:val="00080D27"/>
    <w:rsid w:val="000925C1"/>
    <w:rsid w:val="000B1338"/>
    <w:rsid w:val="000C21AE"/>
    <w:rsid w:val="000C2584"/>
    <w:rsid w:val="000D1496"/>
    <w:rsid w:val="000D167D"/>
    <w:rsid w:val="000D35E1"/>
    <w:rsid w:val="000E0ADB"/>
    <w:rsid w:val="000E39FA"/>
    <w:rsid w:val="000E4ABB"/>
    <w:rsid w:val="000F32C9"/>
    <w:rsid w:val="001045B4"/>
    <w:rsid w:val="00104761"/>
    <w:rsid w:val="00116A84"/>
    <w:rsid w:val="00123975"/>
    <w:rsid w:val="00124003"/>
    <w:rsid w:val="00127A4B"/>
    <w:rsid w:val="0013044F"/>
    <w:rsid w:val="0015724C"/>
    <w:rsid w:val="001724E7"/>
    <w:rsid w:val="00173CB8"/>
    <w:rsid w:val="0017551D"/>
    <w:rsid w:val="00175CFE"/>
    <w:rsid w:val="00177F15"/>
    <w:rsid w:val="00197BFC"/>
    <w:rsid w:val="001A6A83"/>
    <w:rsid w:val="001B134C"/>
    <w:rsid w:val="001E2CC6"/>
    <w:rsid w:val="002040F6"/>
    <w:rsid w:val="002202AD"/>
    <w:rsid w:val="002316F6"/>
    <w:rsid w:val="00240B70"/>
    <w:rsid w:val="0024665A"/>
    <w:rsid w:val="002475AC"/>
    <w:rsid w:val="0025508C"/>
    <w:rsid w:val="0026186A"/>
    <w:rsid w:val="00271DA4"/>
    <w:rsid w:val="002833CE"/>
    <w:rsid w:val="00296DF8"/>
    <w:rsid w:val="002A0EA2"/>
    <w:rsid w:val="002A44B2"/>
    <w:rsid w:val="002B0227"/>
    <w:rsid w:val="002C085A"/>
    <w:rsid w:val="002E3977"/>
    <w:rsid w:val="002F0FBD"/>
    <w:rsid w:val="002F599E"/>
    <w:rsid w:val="003022FF"/>
    <w:rsid w:val="0032266F"/>
    <w:rsid w:val="00340A44"/>
    <w:rsid w:val="00346E3A"/>
    <w:rsid w:val="00350FE0"/>
    <w:rsid w:val="00354AAA"/>
    <w:rsid w:val="00356E1A"/>
    <w:rsid w:val="00364C0B"/>
    <w:rsid w:val="003706AE"/>
    <w:rsid w:val="003768AD"/>
    <w:rsid w:val="00384728"/>
    <w:rsid w:val="0038487E"/>
    <w:rsid w:val="00386CF0"/>
    <w:rsid w:val="00394AA9"/>
    <w:rsid w:val="003B666E"/>
    <w:rsid w:val="003B72B5"/>
    <w:rsid w:val="003C63CF"/>
    <w:rsid w:val="003D1536"/>
    <w:rsid w:val="003D4093"/>
    <w:rsid w:val="003E1147"/>
    <w:rsid w:val="003E497B"/>
    <w:rsid w:val="003F4232"/>
    <w:rsid w:val="00421506"/>
    <w:rsid w:val="004417AD"/>
    <w:rsid w:val="0044589F"/>
    <w:rsid w:val="00460455"/>
    <w:rsid w:val="00465B9E"/>
    <w:rsid w:val="00466C22"/>
    <w:rsid w:val="004805BB"/>
    <w:rsid w:val="00495CF9"/>
    <w:rsid w:val="004A523A"/>
    <w:rsid w:val="004C328F"/>
    <w:rsid w:val="004C3451"/>
    <w:rsid w:val="004E1AE2"/>
    <w:rsid w:val="004E3346"/>
    <w:rsid w:val="004E7EEF"/>
    <w:rsid w:val="004F39C7"/>
    <w:rsid w:val="00502520"/>
    <w:rsid w:val="00504152"/>
    <w:rsid w:val="005114BF"/>
    <w:rsid w:val="00517536"/>
    <w:rsid w:val="0052276D"/>
    <w:rsid w:val="0053430D"/>
    <w:rsid w:val="00537C9D"/>
    <w:rsid w:val="005606D0"/>
    <w:rsid w:val="00565D82"/>
    <w:rsid w:val="0058341D"/>
    <w:rsid w:val="00583837"/>
    <w:rsid w:val="00591D40"/>
    <w:rsid w:val="005C35F8"/>
    <w:rsid w:val="005D78DB"/>
    <w:rsid w:val="005E00DF"/>
    <w:rsid w:val="005E3E84"/>
    <w:rsid w:val="005F051C"/>
    <w:rsid w:val="005F5208"/>
    <w:rsid w:val="005F5A1F"/>
    <w:rsid w:val="006179F7"/>
    <w:rsid w:val="00622A34"/>
    <w:rsid w:val="0063227A"/>
    <w:rsid w:val="00635C2E"/>
    <w:rsid w:val="0064228D"/>
    <w:rsid w:val="00650D10"/>
    <w:rsid w:val="006618E8"/>
    <w:rsid w:val="00666FA8"/>
    <w:rsid w:val="006742F0"/>
    <w:rsid w:val="00677DBA"/>
    <w:rsid w:val="00680804"/>
    <w:rsid w:val="00684BF3"/>
    <w:rsid w:val="00685EC1"/>
    <w:rsid w:val="00692BC9"/>
    <w:rsid w:val="00696CDE"/>
    <w:rsid w:val="006C1513"/>
    <w:rsid w:val="006D042B"/>
    <w:rsid w:val="006D533E"/>
    <w:rsid w:val="006E06E5"/>
    <w:rsid w:val="006E2328"/>
    <w:rsid w:val="006E2DC0"/>
    <w:rsid w:val="006E3881"/>
    <w:rsid w:val="006E5F00"/>
    <w:rsid w:val="00715773"/>
    <w:rsid w:val="00717B38"/>
    <w:rsid w:val="00720D7F"/>
    <w:rsid w:val="00722675"/>
    <w:rsid w:val="0073581A"/>
    <w:rsid w:val="0075040E"/>
    <w:rsid w:val="0075668D"/>
    <w:rsid w:val="0077317E"/>
    <w:rsid w:val="00777A54"/>
    <w:rsid w:val="007835DE"/>
    <w:rsid w:val="007928C4"/>
    <w:rsid w:val="007A3692"/>
    <w:rsid w:val="007B1610"/>
    <w:rsid w:val="007B2AF8"/>
    <w:rsid w:val="007C1F4F"/>
    <w:rsid w:val="007D442C"/>
    <w:rsid w:val="0080226A"/>
    <w:rsid w:val="008025D2"/>
    <w:rsid w:val="00813431"/>
    <w:rsid w:val="00822978"/>
    <w:rsid w:val="00835E7A"/>
    <w:rsid w:val="00857A2D"/>
    <w:rsid w:val="00876C9B"/>
    <w:rsid w:val="00876DAE"/>
    <w:rsid w:val="00880235"/>
    <w:rsid w:val="0088154C"/>
    <w:rsid w:val="00884CF6"/>
    <w:rsid w:val="008A0DAE"/>
    <w:rsid w:val="008A3BAA"/>
    <w:rsid w:val="008A6B21"/>
    <w:rsid w:val="008A7B9F"/>
    <w:rsid w:val="008B0C51"/>
    <w:rsid w:val="008B7371"/>
    <w:rsid w:val="008E6C1A"/>
    <w:rsid w:val="008F6149"/>
    <w:rsid w:val="009278E6"/>
    <w:rsid w:val="009339BE"/>
    <w:rsid w:val="009533C8"/>
    <w:rsid w:val="00966A47"/>
    <w:rsid w:val="009713BC"/>
    <w:rsid w:val="00973494"/>
    <w:rsid w:val="00987BA9"/>
    <w:rsid w:val="009938F9"/>
    <w:rsid w:val="009C1200"/>
    <w:rsid w:val="009D058B"/>
    <w:rsid w:val="009F7DC8"/>
    <w:rsid w:val="00A03C9F"/>
    <w:rsid w:val="00A03E15"/>
    <w:rsid w:val="00A121B2"/>
    <w:rsid w:val="00A14A11"/>
    <w:rsid w:val="00A170D8"/>
    <w:rsid w:val="00A22DFA"/>
    <w:rsid w:val="00A25565"/>
    <w:rsid w:val="00A27B50"/>
    <w:rsid w:val="00A45AD4"/>
    <w:rsid w:val="00A5652E"/>
    <w:rsid w:val="00A67121"/>
    <w:rsid w:val="00A8594C"/>
    <w:rsid w:val="00A87553"/>
    <w:rsid w:val="00A97306"/>
    <w:rsid w:val="00A9753A"/>
    <w:rsid w:val="00AA2174"/>
    <w:rsid w:val="00AA3F0D"/>
    <w:rsid w:val="00AC03F6"/>
    <w:rsid w:val="00AD75F1"/>
    <w:rsid w:val="00AE0BCF"/>
    <w:rsid w:val="00AE3FA2"/>
    <w:rsid w:val="00AF78E0"/>
    <w:rsid w:val="00B132FB"/>
    <w:rsid w:val="00B221A1"/>
    <w:rsid w:val="00B24BEC"/>
    <w:rsid w:val="00B30DA8"/>
    <w:rsid w:val="00B3379E"/>
    <w:rsid w:val="00B35B14"/>
    <w:rsid w:val="00B5291C"/>
    <w:rsid w:val="00B536E3"/>
    <w:rsid w:val="00B55661"/>
    <w:rsid w:val="00B5630D"/>
    <w:rsid w:val="00B6157C"/>
    <w:rsid w:val="00B667D0"/>
    <w:rsid w:val="00B749F9"/>
    <w:rsid w:val="00B82EAA"/>
    <w:rsid w:val="00B92913"/>
    <w:rsid w:val="00B9364A"/>
    <w:rsid w:val="00BA4A1F"/>
    <w:rsid w:val="00BB1EE7"/>
    <w:rsid w:val="00BB237E"/>
    <w:rsid w:val="00BB5AED"/>
    <w:rsid w:val="00BB71A2"/>
    <w:rsid w:val="00BC5798"/>
    <w:rsid w:val="00BD2175"/>
    <w:rsid w:val="00BD2F8F"/>
    <w:rsid w:val="00BE1E6B"/>
    <w:rsid w:val="00BF05BB"/>
    <w:rsid w:val="00C05763"/>
    <w:rsid w:val="00C25C7F"/>
    <w:rsid w:val="00C31B1B"/>
    <w:rsid w:val="00C529AD"/>
    <w:rsid w:val="00C52DDE"/>
    <w:rsid w:val="00C5708E"/>
    <w:rsid w:val="00C6497E"/>
    <w:rsid w:val="00C75ACD"/>
    <w:rsid w:val="00C77B92"/>
    <w:rsid w:val="00C90446"/>
    <w:rsid w:val="00CA4B7B"/>
    <w:rsid w:val="00CA5FBE"/>
    <w:rsid w:val="00CC1D5F"/>
    <w:rsid w:val="00CD6CE3"/>
    <w:rsid w:val="00CE11F5"/>
    <w:rsid w:val="00D05F0C"/>
    <w:rsid w:val="00D0667F"/>
    <w:rsid w:val="00D128FF"/>
    <w:rsid w:val="00D24303"/>
    <w:rsid w:val="00D353C8"/>
    <w:rsid w:val="00D35F9A"/>
    <w:rsid w:val="00D4113C"/>
    <w:rsid w:val="00D44C19"/>
    <w:rsid w:val="00D47446"/>
    <w:rsid w:val="00D47C0E"/>
    <w:rsid w:val="00D53C1B"/>
    <w:rsid w:val="00D54255"/>
    <w:rsid w:val="00D6324B"/>
    <w:rsid w:val="00D64154"/>
    <w:rsid w:val="00D757DC"/>
    <w:rsid w:val="00D855F7"/>
    <w:rsid w:val="00D9106E"/>
    <w:rsid w:val="00D93C2A"/>
    <w:rsid w:val="00DA0F74"/>
    <w:rsid w:val="00DA10F2"/>
    <w:rsid w:val="00DB4C01"/>
    <w:rsid w:val="00DB69E4"/>
    <w:rsid w:val="00DC3BC4"/>
    <w:rsid w:val="00DD3EC8"/>
    <w:rsid w:val="00DE384F"/>
    <w:rsid w:val="00DE3F6E"/>
    <w:rsid w:val="00DF4D5F"/>
    <w:rsid w:val="00E220F9"/>
    <w:rsid w:val="00E70742"/>
    <w:rsid w:val="00E724CB"/>
    <w:rsid w:val="00E874C9"/>
    <w:rsid w:val="00EA76D1"/>
    <w:rsid w:val="00EE18C8"/>
    <w:rsid w:val="00EE657F"/>
    <w:rsid w:val="00F01C07"/>
    <w:rsid w:val="00F04534"/>
    <w:rsid w:val="00F11FF2"/>
    <w:rsid w:val="00F3096B"/>
    <w:rsid w:val="00F621FC"/>
    <w:rsid w:val="00F648B2"/>
    <w:rsid w:val="00F67803"/>
    <w:rsid w:val="00F67BA9"/>
    <w:rsid w:val="00FA735E"/>
    <w:rsid w:val="00FB0B8F"/>
    <w:rsid w:val="00FB384D"/>
    <w:rsid w:val="00FC7B9B"/>
    <w:rsid w:val="042F75D7"/>
    <w:rsid w:val="050405D4"/>
    <w:rsid w:val="05C00EEE"/>
    <w:rsid w:val="06262A2B"/>
    <w:rsid w:val="066540E0"/>
    <w:rsid w:val="068D54B6"/>
    <w:rsid w:val="06AA30E2"/>
    <w:rsid w:val="06BA21CA"/>
    <w:rsid w:val="06BE4EB8"/>
    <w:rsid w:val="06ED2FE4"/>
    <w:rsid w:val="0799759A"/>
    <w:rsid w:val="08E65A82"/>
    <w:rsid w:val="08E776BB"/>
    <w:rsid w:val="097E7386"/>
    <w:rsid w:val="09906EBB"/>
    <w:rsid w:val="0A274285"/>
    <w:rsid w:val="0B1565CE"/>
    <w:rsid w:val="0B780817"/>
    <w:rsid w:val="0EB2171E"/>
    <w:rsid w:val="0F0E6524"/>
    <w:rsid w:val="11BD4C0E"/>
    <w:rsid w:val="120F5656"/>
    <w:rsid w:val="14B5038D"/>
    <w:rsid w:val="14F92C62"/>
    <w:rsid w:val="152464D6"/>
    <w:rsid w:val="164022E8"/>
    <w:rsid w:val="18AD5F2F"/>
    <w:rsid w:val="18E24895"/>
    <w:rsid w:val="1B1711C6"/>
    <w:rsid w:val="230E587B"/>
    <w:rsid w:val="2313098C"/>
    <w:rsid w:val="23D53BCC"/>
    <w:rsid w:val="24B43CA8"/>
    <w:rsid w:val="26E63BE0"/>
    <w:rsid w:val="26EC3A72"/>
    <w:rsid w:val="26F97B69"/>
    <w:rsid w:val="272E6C79"/>
    <w:rsid w:val="27536E2F"/>
    <w:rsid w:val="2AB321F7"/>
    <w:rsid w:val="2AD01A19"/>
    <w:rsid w:val="2C0E4D24"/>
    <w:rsid w:val="2C411861"/>
    <w:rsid w:val="2FBD6B83"/>
    <w:rsid w:val="2FCA1036"/>
    <w:rsid w:val="311B234D"/>
    <w:rsid w:val="351728F5"/>
    <w:rsid w:val="35865F04"/>
    <w:rsid w:val="376D1507"/>
    <w:rsid w:val="3800033D"/>
    <w:rsid w:val="3A395788"/>
    <w:rsid w:val="3BCF0BCB"/>
    <w:rsid w:val="3BF816CF"/>
    <w:rsid w:val="3D692AE3"/>
    <w:rsid w:val="3E6720D4"/>
    <w:rsid w:val="3FBF210B"/>
    <w:rsid w:val="4022575B"/>
    <w:rsid w:val="42D95C93"/>
    <w:rsid w:val="43C51BD4"/>
    <w:rsid w:val="43EC567E"/>
    <w:rsid w:val="45BF4B4B"/>
    <w:rsid w:val="49DF23ED"/>
    <w:rsid w:val="49FB1DCE"/>
    <w:rsid w:val="4B3F4D88"/>
    <w:rsid w:val="4B9800B9"/>
    <w:rsid w:val="4C942FFD"/>
    <w:rsid w:val="4D55601C"/>
    <w:rsid w:val="4D7F48D5"/>
    <w:rsid w:val="4DD434CE"/>
    <w:rsid w:val="4F211218"/>
    <w:rsid w:val="50B53807"/>
    <w:rsid w:val="519A217B"/>
    <w:rsid w:val="51E0665F"/>
    <w:rsid w:val="534E4695"/>
    <w:rsid w:val="54421FD9"/>
    <w:rsid w:val="5470602A"/>
    <w:rsid w:val="5596113A"/>
    <w:rsid w:val="57433D53"/>
    <w:rsid w:val="58DE5398"/>
    <w:rsid w:val="58EB20C9"/>
    <w:rsid w:val="59307FC6"/>
    <w:rsid w:val="593C0F0F"/>
    <w:rsid w:val="5C586EAD"/>
    <w:rsid w:val="5CE970AA"/>
    <w:rsid w:val="5E3A763B"/>
    <w:rsid w:val="5E4041E2"/>
    <w:rsid w:val="5E612C3F"/>
    <w:rsid w:val="5FE23433"/>
    <w:rsid w:val="602B358A"/>
    <w:rsid w:val="605F47E0"/>
    <w:rsid w:val="60720BE6"/>
    <w:rsid w:val="61067384"/>
    <w:rsid w:val="616E71EE"/>
    <w:rsid w:val="61F421F1"/>
    <w:rsid w:val="61FF7D7D"/>
    <w:rsid w:val="644D0B2D"/>
    <w:rsid w:val="64C92EA0"/>
    <w:rsid w:val="64C944BA"/>
    <w:rsid w:val="653B6D85"/>
    <w:rsid w:val="656670D4"/>
    <w:rsid w:val="68285AE1"/>
    <w:rsid w:val="6AD02763"/>
    <w:rsid w:val="6BCA10B7"/>
    <w:rsid w:val="6C2864C5"/>
    <w:rsid w:val="70136DB0"/>
    <w:rsid w:val="70493B33"/>
    <w:rsid w:val="71CE6CE8"/>
    <w:rsid w:val="725D6F5E"/>
    <w:rsid w:val="729118AF"/>
    <w:rsid w:val="735B35A2"/>
    <w:rsid w:val="73B3142E"/>
    <w:rsid w:val="740C72F3"/>
    <w:rsid w:val="74355C09"/>
    <w:rsid w:val="74F85829"/>
    <w:rsid w:val="77387EB4"/>
    <w:rsid w:val="779D30B1"/>
    <w:rsid w:val="786D6D67"/>
    <w:rsid w:val="7BAE3AA6"/>
    <w:rsid w:val="7C680C5A"/>
    <w:rsid w:val="7D6D1159"/>
    <w:rsid w:val="7E5A0034"/>
    <w:rsid w:val="7F9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0D7A9-00BB-4BF0-BDF0-1381A5A10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925</Words>
  <Characters>5273</Characters>
  <Lines>43</Lines>
  <Paragraphs>12</Paragraphs>
  <TotalTime>1009</TotalTime>
  <ScaleCrop>false</ScaleCrop>
  <LinksUpToDate>false</LinksUpToDate>
  <CharactersWithSpaces>6186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2020-04-29T02:27:00Z</dcterms:created>
  <dc:creator>Administrator</dc:creator>
  <cp:lastModifiedBy>CQQ</cp:lastModifiedBy>
  <dcterms:modified xsi:type="dcterms:W3CDTF">2023-04-06T09:54:28Z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D6C4AB001DF94289AEAB30787FC74411</vt:lpwstr>
  </property>
</Properties>
</file>