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附件3</w:t>
      </w: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崇阳</w:t>
      </w:r>
      <w:r>
        <w:rPr>
          <w:rFonts w:hint="default" w:ascii="Times New Roman" w:hAnsi="Times New Roman" w:eastAsia="方正小标宋简体" w:cs="Times New Roman"/>
          <w:spacing w:val="-10"/>
          <w:sz w:val="40"/>
          <w:szCs w:val="40"/>
        </w:rPr>
        <w:t>县</w:t>
      </w:r>
      <w:r>
        <w:rPr>
          <w:rFonts w:hint="eastAsia" w:ascii="Times New Roman" w:hAnsi="Times New Roman" w:eastAsia="方正小标宋简体" w:cs="Times New Roman"/>
          <w:spacing w:val="-10"/>
          <w:sz w:val="40"/>
          <w:szCs w:val="40"/>
          <w:lang w:val="en-US" w:eastAsia="zh-CN"/>
        </w:rPr>
        <w:t>中央农业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转移支付</w:t>
      </w:r>
      <w:r>
        <w:rPr>
          <w:rFonts w:hint="default" w:ascii="Times New Roman" w:hAnsi="Times New Roman" w:eastAsia="方正小标宋简体" w:cs="Times New Roman"/>
          <w:spacing w:val="-10"/>
          <w:sz w:val="40"/>
          <w:szCs w:val="40"/>
          <w:shd w:val="clear" w:color="auto" w:fill="FFFFFF"/>
        </w:rPr>
        <w:t>202</w:t>
      </w:r>
      <w:r>
        <w:rPr>
          <w:rFonts w:hint="eastAsia" w:ascii="Times New Roman" w:hAnsi="Times New Roman" w:eastAsia="方正小标宋简体" w:cs="Times New Roman"/>
          <w:spacing w:val="-10"/>
          <w:sz w:val="40"/>
          <w:szCs w:val="40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pacing w:val="-10"/>
          <w:sz w:val="40"/>
          <w:szCs w:val="40"/>
          <w:shd w:val="clear" w:color="auto" w:fill="FFFFFF"/>
        </w:rPr>
        <w:t>年度</w:t>
      </w:r>
      <w:r>
        <w:rPr>
          <w:rFonts w:hint="default" w:ascii="Times New Roman" w:hAnsi="Times New Roman" w:eastAsia="方正小标宋简体" w:cs="Times New Roman"/>
          <w:spacing w:val="-10"/>
          <w:sz w:val="40"/>
          <w:szCs w:val="40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按照《省农业农村厅关于下达2023 年高标准农田建设任务的通知》（鄂农发[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]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号）文件精神，我县202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年建设任务为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目区涉及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项目区涉及4个乡镇8个村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项目总投资3580.30万元，其中：中央资金1730万元、省级资金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785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万元，县级配套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1065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.30万元。按资金渠道分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两个项目：一是2023年崇阳县天城镇新塘岭等村高标准农田建设项目（1.5万亩）；二是2023年崇阳县肖岭乡星桥等村高标准农田建设项目（0.5万亩）。本次绩效自评主要针对2023年崇阳县天城镇新塘岭等村高标准农田建设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二、绩效情况分析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崇阳县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2023年高标准农田建设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按资金渠道分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为两个项目：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崇阳县天城镇新塘岭等村高标准农田建设项目，建设规模为1.5万亩，项目总投资2777.03万元，其中：中央财政资金1237.00万元（鄂财农发〔2023〕21号），省级资金590.00万元（鄂财农发〔2023〕21号），县级配套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950.03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万元；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崇阳县肖岭乡星桥等村高标准农田建设项目建设规模为0.5万亩，项目总投资803.27万元，其中：中央资金493.00万元（鄂财建发〔2023〕93号），省级资金195.00万元（鄂财农发〔2023〕21号），县级配套资金115.27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sz w:val="32"/>
          <w:szCs w:val="32"/>
          <w:lang w:val="en-US" w:eastAsia="zh-CN"/>
        </w:rPr>
        <w:t>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严格执行财政部、农业农村部印发的《农田建设补助资金管理办法》相关规定，按合同约定支付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坚持国库集中支付原则，健全资金拨付手续，收集支付必要附件资料，做好项目资金台账。施工期间，由专业的工程监理进行现场监理，各标段项目管理人员跟踪监督，定期或不定期到项目现场进行检查，形成业主监督、第三方公司监管、群众参与的多方监管体系，保证了项目的建设质量。项目资金投入事前有预算评审，事后有结算评审，充分发挥财政资金的经济效益和社会效益。截至目前，鄂财农发〔2023〕21号文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所含资金（中央资金1237万元、省级资金785万元）已拨付中央资金432万元，省级资金166.53万元，另县级配套资金1065.30万元已全部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拨付，中央资金拨付率为34.92%，地方资金拨付率为66.57%，总资金拨付率为53.89%。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</w:t>
      </w:r>
      <w:r>
        <w:rPr>
          <w:rFonts w:hint="default" w:ascii="Times New Roman" w:hAnsi="Times New Roman" w:eastAsia="楷体_GB2312" w:cs="Times New Roman"/>
          <w:b w:val="0"/>
          <w:sz w:val="32"/>
          <w:szCs w:val="32"/>
        </w:rPr>
        <w:t>总体绩效目标完成情况分析。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（对照总体目标分析全年实际完成情况）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1、2023年度崇阳县高标准农田建设项目建设总规模为2万亩，于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2023年10月20日召开动员会并签发开工令工程开工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2023年12月20日前全部完工。通过项目建设，有效改善了项目区农田基础设施条件，提升了耕地质量，提高了粮食综合生产能力。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）绩效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完成情况分析。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各三级绩效指标值，逐项分析全年实际完成情况）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（1）数量指标：改造提升高标准农田1.5万亩。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（2）验收合格率：通过对工程开展自验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，验收合格率≥95%。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（3）耕地质量：耕地质量逐步提升。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（4）任务完成及时性：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2023年10月20日召开动员会并签发开工令工程开工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2023年12月20日前全部完工，完成工期约2个月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（1）粮食综合生产能力：明显提升。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（2）田间道路通达度：田间道路通达度≥90%。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（3）水资源利用率：逐步提升。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项目区公众满意度达到90%以上。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崇阳县2023年项目已按期完工，并达到相应的绩效目标考核要求。下一步我局会继续按照规划及资金安排，扎实做好今后项目建设任务，将建设任务进一步细化，加强项目监督检查，按照有关法律法规和基本程序加强项目管理，在保安全、保质量的基础上，加快推进项目建设进度，确保按时完成任务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绩效自评结果</w:t>
      </w:r>
      <w:r>
        <w:rPr>
          <w:rFonts w:hint="default" w:ascii="Times New Roman" w:hAnsi="Times New Roman" w:eastAsia="黑体" w:cs="Times New Roman"/>
          <w:bCs/>
          <w:sz w:val="32"/>
          <w:szCs w:val="32"/>
          <w:shd w:val="clear" w:color="auto" w:fill="FFFFFF"/>
        </w:rPr>
        <w:t>拟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应用和公开情况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待项目验收审计完成后，按要求在政府相关政务公开网站公开。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SerifCJKsc-Regular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ShuSong-Z01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9BFC8E"/>
    <w:multiLevelType w:val="singleLevel"/>
    <w:tmpl w:val="169BFC8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A33BCC"/>
    <w:multiLevelType w:val="singleLevel"/>
    <w:tmpl w:val="35A33BC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kNWFjOTAxM2EyZmM3YWFiM2E0Yjg2ZTczYTliMjEifQ=="/>
  </w:docVars>
  <w:rsids>
    <w:rsidRoot w:val="00000000"/>
    <w:rsid w:val="14186D67"/>
    <w:rsid w:val="162723DE"/>
    <w:rsid w:val="20653333"/>
    <w:rsid w:val="243062C6"/>
    <w:rsid w:val="25F77567"/>
    <w:rsid w:val="3AE07C06"/>
    <w:rsid w:val="3EAB0813"/>
    <w:rsid w:val="456257A8"/>
    <w:rsid w:val="5DFFC0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3"/>
    <w:autoRedefine/>
    <w:qFormat/>
    <w:uiPriority w:val="99"/>
    <w:pPr>
      <w:ind w:firstLine="200" w:firstLineChars="200"/>
    </w:pPr>
  </w:style>
  <w:style w:type="paragraph" w:styleId="3">
    <w:name w:val="Normal (Web)"/>
    <w:basedOn w:val="1"/>
    <w:next w:val="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alloon Text"/>
    <w:basedOn w:val="1"/>
    <w:next w:val="1"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标4"/>
    <w:basedOn w:val="1"/>
    <w:next w:val="1"/>
    <w:autoRedefine/>
    <w:qFormat/>
    <w:uiPriority w:val="0"/>
    <w:pPr>
      <w:adjustRightInd w:val="0"/>
      <w:spacing w:before="240" w:after="360" w:line="240" w:lineRule="exact"/>
      <w:outlineLvl w:val="3"/>
    </w:pPr>
    <w:rPr>
      <w:rFonts w:ascii="Arial" w:hAnsi="Arial" w:cs="Arial"/>
      <w:b/>
      <w:bCs/>
      <w:kern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2024-03-19T08:37:44Z</cp:lastPrinted>
  <dcterms:modified xsi:type="dcterms:W3CDTF">2024-03-19T08:38:59Z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12418F7D99DB492380AC027728EA6F68_13</vt:lpwstr>
  </property>
</Properties>
</file>