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t>附件2</w:t>
      </w:r>
    </w:p>
    <w:tbl>
      <w:tblPr>
        <w:tblStyle w:val="3"/>
        <w:tblW w:w="1002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9"/>
        <w:gridCol w:w="1015"/>
        <w:gridCol w:w="859"/>
        <w:gridCol w:w="1992"/>
        <w:gridCol w:w="1869"/>
        <w:gridCol w:w="1115"/>
        <w:gridCol w:w="145"/>
        <w:gridCol w:w="969"/>
        <w:gridCol w:w="151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0020" w:type="dxa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34"/>
                <w:szCs w:val="34"/>
                <w:lang w:val="en-US" w:eastAsia="zh-CN"/>
              </w:rPr>
              <w:t>崇阳县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34"/>
                <w:szCs w:val="34"/>
              </w:rPr>
              <w:t>转移支付区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34"/>
                <w:szCs w:val="34"/>
                <w:lang w:val="en-US" w:eastAsia="zh-CN"/>
              </w:rPr>
              <w:t>2023年绿色种养循环农业试点项目</w:t>
            </w:r>
          </w:p>
          <w:p>
            <w:pPr>
              <w:widowControl/>
              <w:jc w:val="center"/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34"/>
                <w:szCs w:val="3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34"/>
                <w:szCs w:val="34"/>
              </w:rPr>
              <w:t xml:space="preserve">绩效目标自评表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0020" w:type="dxa"/>
            <w:gridSpan w:val="9"/>
            <w:tcBorders>
              <w:bottom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</w:rPr>
              <w:t>（202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4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转移支付（项目）名称</w:t>
            </w:r>
          </w:p>
        </w:tc>
        <w:tc>
          <w:tcPr>
            <w:tcW w:w="76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2023年绿色种养循环农业试点项目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4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中央主管部门</w:t>
            </w:r>
          </w:p>
        </w:tc>
        <w:tc>
          <w:tcPr>
            <w:tcW w:w="76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农业农村厅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4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地方主管部门</w:t>
            </w: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湖北省农业农村厅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资金使用单位</w:t>
            </w:r>
          </w:p>
        </w:tc>
        <w:tc>
          <w:tcPr>
            <w:tcW w:w="24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崇阳县农业农村局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241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eastAsia="zh-CN"/>
              </w:rPr>
              <w:t>资金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投入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eastAsia="zh-CN"/>
              </w:rPr>
              <w:t>情况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全年预算数（A）</w:t>
            </w:r>
          </w:p>
        </w:tc>
        <w:tc>
          <w:tcPr>
            <w:tcW w:w="2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全年执行数（B）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预算执行率（B/A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/>
              </w:rPr>
              <w:t>*100%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41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1000</w:t>
            </w:r>
          </w:p>
        </w:tc>
        <w:tc>
          <w:tcPr>
            <w:tcW w:w="2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442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44.2%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41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 xml:space="preserve"> 其中：中央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  <w:t>财政资金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1000</w:t>
            </w:r>
          </w:p>
        </w:tc>
        <w:tc>
          <w:tcPr>
            <w:tcW w:w="2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442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44.2%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41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700" w:firstLineChars="35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地方资金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41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41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资金管理情况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情况说明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存在问题和改进措施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413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分配科学性</w:t>
            </w:r>
          </w:p>
        </w:tc>
        <w:tc>
          <w:tcPr>
            <w:tcW w:w="4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对粪肥还田奖补严格执行“三对应”，即养殖规模、粪肥利用量、利用面积三个环节之间存在确定的逻辑关系，确定补贴粪肥种类和数量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413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下达及时性</w:t>
            </w:r>
          </w:p>
        </w:tc>
        <w:tc>
          <w:tcPr>
            <w:tcW w:w="4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根据可核实的完成工作量分阶段支付补贴。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413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拨付合规性</w:t>
            </w:r>
          </w:p>
        </w:tc>
        <w:tc>
          <w:tcPr>
            <w:tcW w:w="4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项目第三方审计机构审计验收后，经局党组讨论审批后确定奖补金额，从项目专户进行拨付。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413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使用规范性</w:t>
            </w:r>
          </w:p>
        </w:tc>
        <w:tc>
          <w:tcPr>
            <w:tcW w:w="4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对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粪肥还田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收集、处理、运输、还田服务的服务主体进行奖补。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413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执行准确性</w:t>
            </w:r>
          </w:p>
        </w:tc>
        <w:tc>
          <w:tcPr>
            <w:tcW w:w="4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根据粪污类型、运输距离、施用方式、还田数量等合理测算成本确定补贴标准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413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预算绩效管理情况</w:t>
            </w:r>
          </w:p>
        </w:tc>
        <w:tc>
          <w:tcPr>
            <w:tcW w:w="4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好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413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支出责任履行情况</w:t>
            </w:r>
          </w:p>
        </w:tc>
        <w:tc>
          <w:tcPr>
            <w:tcW w:w="4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好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总体目标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  <w:t>完成情况</w:t>
            </w:r>
          </w:p>
        </w:tc>
        <w:tc>
          <w:tcPr>
            <w:tcW w:w="5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37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全年实际完成情况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县计划建成绿色种养循环农业试点县1个，扶持一批企业、专业化服务组织等市场主体提供粪肥收集、处理、施用服务，以县为单位构建1-2种粪肥还田组织运行模式，完成绿色种养循环粪肥还田利用试点面积10万亩以上，带动县域内畜禽粪污综合利用率达到90%以上。</w:t>
            </w:r>
          </w:p>
        </w:tc>
        <w:tc>
          <w:tcPr>
            <w:tcW w:w="37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成绿色种养循环农业试点县1个,扶持一批企业、专业化服务组织等市场主体提供粪肥收集、处理、施用服务，以县为单位构建了1+N粪肥还田运行模式，已完成绿色种养循环粪肥还田利用试点面积12.8万亩,带动县域内畜禽粪污综合利用率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95.46%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LrV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一级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指标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全年实际完成值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未完成原因和改进措施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产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出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指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标</w:t>
            </w:r>
          </w:p>
        </w:tc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绿色种养循环财政奖补试点县数量（个）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种养循环试点面积（万亩）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10.3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12.8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粪肥还田示范面积（亩）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1000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1800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县域内有机肥施用面积占比比上年度增加值 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≥5%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5.46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……</w:t>
            </w: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效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益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指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标</w:t>
            </w:r>
          </w:p>
        </w:tc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经济效益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指标</w:t>
            </w: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社会效益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指标</w:t>
            </w: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生态效益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指标</w:t>
            </w: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绿色种养循环农业试点县畜禽粪污综合利用率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仿宋" w:hAnsi="仿宋" w:eastAsia="仿宋" w:cs="仿宋"/>
                <w:color w:val="000000"/>
                <w:kern w:val="2"/>
                <w:sz w:val="20"/>
                <w:szCs w:val="20"/>
                <w:highlight w:val="red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  95.46%    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……</w:t>
            </w: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服务对象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……</w:t>
            </w:r>
          </w:p>
        </w:tc>
        <w:tc>
          <w:tcPr>
            <w:tcW w:w="3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说明</w:t>
            </w:r>
          </w:p>
        </w:tc>
        <w:tc>
          <w:tcPr>
            <w:tcW w:w="948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0020" w:type="dxa"/>
            <w:gridSpan w:val="9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注：1.资金使用单位按项目绩效目标填报，主管部门汇总时按区域绩效目标填报。</w:t>
            </w:r>
          </w:p>
          <w:p>
            <w:pPr>
              <w:widowControl/>
              <w:ind w:firstLine="36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2.其他资金包括与中央财政资金、地方财政资金共同投入到同一项目的自有资金、社会资金，以及以前年度的结转结余资金等。</w:t>
            </w:r>
          </w:p>
          <w:p>
            <w:pPr>
              <w:widowControl/>
              <w:ind w:firstLine="36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3.全年执行数是指按照国库集中支付制度要求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所形成的实际支出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。</w:t>
            </w:r>
          </w:p>
          <w:p>
            <w:pPr>
              <w:widowControl/>
              <w:ind w:firstLine="36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4.定量指标。地方各级主管部门对资金使用单位填写的实际完成值汇总时，绝对值直接累加计算，相对值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采用区域或整体数据，不能采用区域或整体数据的，以区域或项目的资金量为权重进行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加权平均计算。</w:t>
            </w:r>
          </w:p>
          <w:p>
            <w:pPr>
              <w:widowControl/>
              <w:ind w:firstLine="36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5.定性指标。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完成情况分为好、较好、一般、较差四档，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资金使用单位分别按照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0%（含）-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0%、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0%（含）-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0%、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0%（含）-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0%、0%-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0%合理填写实际完成值。地方各级主管部门汇总时，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以区域或项目的资金量为权重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加权平均计算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完成值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MDA2MGM4ZjUwMWFjNDY2ODJlNDIyNGIyNzFmNTkifQ=="/>
  </w:docVars>
  <w:rsids>
    <w:rsidRoot w:val="68607BC8"/>
    <w:rsid w:val="08DA3FD2"/>
    <w:rsid w:val="1D035828"/>
    <w:rsid w:val="57455E0A"/>
    <w:rsid w:val="6860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2024-03-14T08:33:00Z</dcterms:created>
  <dc:creator>₯㎕</dc:creator>
  <cp:lastModifiedBy>芒</cp:lastModifiedBy>
  <dcterms:modified xsi:type="dcterms:W3CDTF">2024-03-18T00:45:37Z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711813862C00446EB72CC9D99E77FF34_13</vt:lpwstr>
  </property>
</Properties>
</file>