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90"/>
        <w:jc w:val="center"/>
        <w:rPr>
          <w:rFonts w:eastAsia="方正小标宋简体;方正舒体" w:cs="方正小标宋简体;方正舒体"/>
          <w:b/>
          <w:sz w:val="36"/>
          <w:szCs w:val="36"/>
        </w:rPr>
      </w:pPr>
    </w:p>
    <w:p>
      <w:pPr>
        <w:ind w:firstLine="690"/>
        <w:jc w:val="center"/>
        <w:rPr>
          <w:rFonts w:eastAsia="方正小标宋简体;方正舒体" w:cs="方正小标宋简体;方正舒体"/>
          <w:b/>
          <w:sz w:val="36"/>
          <w:szCs w:val="36"/>
        </w:rPr>
      </w:pPr>
    </w:p>
    <w:p>
      <w:pPr>
        <w:numPr>
          <w:ilvl w:val="0"/>
          <w:numId w:val="0"/>
        </w:numPr>
        <w:spacing w:line="640" w:lineRule="exact"/>
        <w:ind w:firstLine="1172"/>
        <w:jc w:val="center"/>
        <w:outlineLvl w:val="0"/>
        <w:rPr>
          <w:rFonts w:ascii="宋体" w:hAnsi="宋体" w:eastAsia="宋体" w:cs="宋体"/>
          <w:b/>
          <w:bCs/>
          <w:sz w:val="60"/>
          <w:szCs w:val="60"/>
        </w:rPr>
      </w:pPr>
      <w:r>
        <w:rPr>
          <w:rFonts w:ascii="宋体" w:hAnsi="宋体" w:eastAsia="宋体" w:cs="宋体"/>
          <w:b/>
          <w:bCs/>
          <w:sz w:val="60"/>
          <w:szCs w:val="60"/>
        </w:rPr>
        <w:t>崇阳县预算绩效评价报告</w:t>
      </w:r>
    </w:p>
    <w:p>
      <w:pPr>
        <w:shd w:val="clear" w:fill="FFFFFF"/>
        <w:ind w:firstLine="690"/>
        <w:jc w:val="center"/>
        <w:rPr>
          <w:rFonts w:ascii="宋体" w:hAnsi="宋体" w:eastAsia="宋体" w:cs="宋体"/>
          <w:b/>
          <w:bCs/>
        </w:rPr>
      </w:pPr>
      <w:r>
        <w:rPr>
          <w:rFonts w:ascii="宋体" w:hAnsi="宋体" w:eastAsia="宋体" w:cs="宋体"/>
          <w:b/>
          <w:bCs/>
          <w:sz w:val="36"/>
          <w:szCs w:val="36"/>
        </w:rPr>
        <w:t>（专业版）</w:t>
      </w:r>
    </w:p>
    <w:p>
      <w:pPr>
        <w:ind w:firstLine="687"/>
        <w:jc w:val="center"/>
        <w:rPr>
          <w:rFonts w:ascii="宋体" w:hAnsi="宋体" w:eastAsia="仿宋_GB2312" w:cs="宋体"/>
          <w:b/>
          <w:bCs/>
          <w:sz w:val="36"/>
          <w:szCs w:val="36"/>
        </w:rPr>
      </w:pPr>
    </w:p>
    <w:p>
      <w:pPr>
        <w:ind w:firstLine="687"/>
        <w:rPr>
          <w:rFonts w:eastAsia="仿宋_GB2312"/>
          <w:bCs/>
          <w:sz w:val="36"/>
          <w:szCs w:val="36"/>
        </w:rPr>
      </w:pPr>
    </w:p>
    <w:p>
      <w:pPr>
        <w:numPr>
          <w:ilvl w:val="0"/>
          <w:numId w:val="0"/>
        </w:numPr>
        <w:shd w:val="clear" w:fill="FFFFFF"/>
        <w:ind w:firstLine="607"/>
        <w:jc w:val="left"/>
        <w:outlineLvl w:val="0"/>
        <w:rPr>
          <w:rFonts w:cs="仿宋_GB2312"/>
        </w:rPr>
      </w:pPr>
      <w:r>
        <w:rPr>
          <w:rFonts w:cs="仿宋_GB2312"/>
        </w:rPr>
        <w:t>报告名称：应急救援中心项目绩效评价报告</w:t>
      </w:r>
    </w:p>
    <w:p>
      <w:pPr>
        <w:shd w:val="clear" w:fill="FFFFFF"/>
        <w:ind w:firstLine="607"/>
        <w:jc w:val="left"/>
        <w:rPr>
          <w:rFonts w:cs="仿宋_GB2312"/>
        </w:rPr>
      </w:pPr>
      <w:r>
        <w:rPr>
          <w:rFonts w:cs="仿宋_GB2312"/>
        </w:rPr>
        <w:t>预算单位：崇阳县应急管理局</w:t>
      </w:r>
    </w:p>
    <w:p>
      <w:pPr>
        <w:shd w:val="clear" w:fill="FFFFFF"/>
        <w:tabs>
          <w:tab w:val="left" w:pos="7978"/>
        </w:tabs>
        <w:ind w:firstLine="607"/>
        <w:jc w:val="left"/>
        <w:rPr>
          <w:rFonts w:cs="仿宋_GB2312"/>
        </w:rPr>
      </w:pPr>
      <w:r>
        <w:rPr>
          <w:rFonts w:cs="仿宋_GB2312"/>
        </w:rPr>
        <w:t>预算年度：2022年度</w:t>
      </w:r>
      <w:r>
        <w:rPr>
          <w:rFonts w:cs="仿宋_GB2312"/>
        </w:rPr>
        <w:tab/>
      </w:r>
    </w:p>
    <w:p>
      <w:pPr>
        <w:shd w:val="clear" w:fill="FFFFFF"/>
        <w:ind w:firstLine="607"/>
        <w:jc w:val="left"/>
        <w:rPr>
          <w:rFonts w:cs="仿宋_GB2312"/>
        </w:rPr>
      </w:pPr>
      <w:r>
        <w:rPr>
          <w:rFonts w:cs="仿宋_GB2312"/>
        </w:rPr>
        <w:t>评价类型：项目</w:t>
      </w:r>
      <w:r>
        <w:rPr>
          <w:rFonts w:cs="Segoe UI Symbol"/>
        </w:rPr>
        <w:t>☑</w:t>
      </w:r>
      <w:r>
        <w:rPr>
          <w:rFonts w:eastAsia="Times New Roman" w:cs="Times New Roman"/>
        </w:rPr>
        <w:t xml:space="preserve">    </w:t>
      </w:r>
      <w:r>
        <w:rPr>
          <w:rFonts w:cs="仿宋_GB2312"/>
        </w:rPr>
        <w:t>政策□</w:t>
      </w:r>
      <w:r>
        <w:rPr>
          <w:rFonts w:eastAsia="Times New Roman" w:cs="Times New Roman"/>
        </w:rPr>
        <w:t xml:space="preserve">    </w:t>
      </w:r>
      <w:r>
        <w:rPr>
          <w:rFonts w:cs="仿宋_GB2312"/>
        </w:rPr>
        <w:t>部门整体□</w:t>
      </w:r>
    </w:p>
    <w:p>
      <w:pPr>
        <w:ind w:firstLine="607"/>
        <w:rPr>
          <w:rFonts w:cs="仿宋_GB2312"/>
          <w:bCs/>
        </w:rPr>
      </w:pPr>
    </w:p>
    <w:p>
      <w:pPr>
        <w:ind w:firstLine="610"/>
        <w:rPr>
          <w:b/>
          <w:bCs/>
        </w:rPr>
      </w:pPr>
    </w:p>
    <w:p>
      <w:pPr>
        <w:ind w:firstLine="607"/>
        <w:rPr>
          <w:bCs/>
        </w:rPr>
      </w:pPr>
      <w:r>
        <w:rPr>
          <w:bCs/>
        </w:rPr>
        <w:t>评价机构：湖北国盛会计师事务有限公司</w:t>
      </w:r>
    </w:p>
    <w:p>
      <w:pPr>
        <w:ind w:firstLine="607"/>
        <w:rPr>
          <w:bCs/>
        </w:rPr>
      </w:pPr>
      <w:r>
        <w:rPr>
          <w:bCs/>
        </w:rPr>
        <w:t>主评人1：</w:t>
      </w:r>
    </w:p>
    <w:p>
      <w:pPr>
        <w:ind w:firstLine="607"/>
        <w:rPr>
          <w:bCs/>
        </w:rPr>
      </w:pPr>
      <w:r>
        <w:rPr>
          <w:bCs/>
        </w:rPr>
        <w:t>主评人2：</w:t>
      </w:r>
    </w:p>
    <w:p>
      <w:pPr>
        <w:ind w:firstLine="607"/>
        <w:rPr>
          <w:bCs/>
        </w:rPr>
      </w:pPr>
      <w:r>
        <w:rPr>
          <w:bCs/>
        </w:rPr>
        <w:t>正式提交日期：2023年</w:t>
      </w:r>
      <w:r>
        <w:rPr>
          <w:rFonts w:eastAsia="Times New Roman"/>
          <w:bCs/>
        </w:rPr>
        <w:t xml:space="preserve">  </w:t>
      </w:r>
      <w:r>
        <w:rPr>
          <w:bCs/>
        </w:rPr>
        <w:t>月</w:t>
      </w:r>
      <w:r>
        <w:rPr>
          <w:rFonts w:eastAsia="Times New Roman"/>
          <w:bCs/>
        </w:rPr>
        <w:t xml:space="preserve"> </w:t>
      </w:r>
    </w:p>
    <w:p>
      <w:pPr>
        <w:ind w:firstLine="610"/>
        <w:rPr>
          <w:b/>
          <w:bCs/>
        </w:rPr>
        <w:sectPr>
          <w:footerReference r:id="rId3" w:type="default"/>
          <w:pgSz w:w="11906" w:h="16838"/>
          <w:pgMar w:top="2098" w:right="1474" w:bottom="1984" w:left="1587" w:header="0" w:footer="1304" w:gutter="0"/>
          <w:pgNumType w:fmt="decimal"/>
          <w:formProt w:val="0"/>
          <w:docGrid w:type="linesAndChars" w:linePitch="610" w:charSpace="-3482"/>
        </w:sectPr>
      </w:pPr>
    </w:p>
    <w:p>
      <w:pPr>
        <w:shd w:val="clear" w:fill="FFFFFF"/>
        <w:ind w:firstLine="0"/>
        <w:jc w:val="center"/>
        <w:rPr>
          <w:rFonts w:eastAsia="宋体"/>
          <w:b/>
          <w:sz w:val="36"/>
          <w:szCs w:val="36"/>
        </w:rPr>
      </w:pPr>
      <w:r>
        <w:rPr>
          <w:rFonts w:eastAsia="宋体"/>
          <w:b/>
          <w:sz w:val="36"/>
          <w:szCs w:val="36"/>
        </w:rPr>
        <w:t>目 录</w:t>
      </w:r>
    </w:p>
    <w:sdt>
      <w:sdtPr>
        <w:id w:val="0"/>
      </w:sdtPr>
      <w:sdtContent>
        <w:p>
          <w:pPr>
            <w:pStyle w:val="12"/>
            <w:tabs>
              <w:tab w:val="right" w:leader="dot" w:pos="8835"/>
            </w:tabs>
            <w:ind w:firstLine="607"/>
            <w:rPr>
              <w:rFonts w:ascii="等线" w:hAnsi="等线" w:eastAsia="等线" w:cs="等线"/>
              <w:sz w:val="21"/>
              <w:szCs w:val="22"/>
              <w:lang w:val="en-US" w:eastAsia="en-US"/>
            </w:rPr>
          </w:pPr>
          <w:r>
            <w:fldChar w:fldCharType="begin"/>
          </w:r>
          <w:r>
            <w:rPr>
              <w:rFonts w:ascii="等线" w:hAnsi="等线" w:eastAsia="等线" w:cs="等线"/>
              <w:sz w:val="21"/>
              <w:szCs w:val="22"/>
              <w:lang w:val="en-US" w:eastAsia="en-US"/>
            </w:rPr>
            <w:instrText xml:space="preserve">TOC \o "1-3" \h \u</w:instrText>
          </w:r>
          <w:r>
            <w:rPr>
              <w:rFonts w:ascii="等线" w:hAnsi="等线" w:eastAsia="等线" w:cs="等线"/>
              <w:sz w:val="21"/>
              <w:szCs w:val="22"/>
              <w:lang w:val="en-US" w:eastAsia="en-US"/>
            </w:rPr>
            <w:fldChar w:fldCharType="separate"/>
          </w:r>
        </w:p>
        <w:p>
          <w:pPr>
            <w:pStyle w:val="12"/>
            <w:tabs>
              <w:tab w:val="right" w:leader="dot" w:pos="8835"/>
            </w:tabs>
            <w:ind w:firstLine="607"/>
            <w:rPr>
              <w:rFonts w:ascii="等线" w:hAnsi="等线" w:eastAsia="等线" w:cs="等线"/>
              <w:sz w:val="21"/>
              <w:szCs w:val="22"/>
              <w:lang w:val="en-US" w:eastAsia="en-US"/>
            </w:rPr>
          </w:pPr>
          <w:r>
            <w:fldChar w:fldCharType="begin"/>
          </w:r>
          <w:r>
            <w:instrText xml:space="preserve"> HYPERLINK \l "__RefHeading___Toc142235544" \h </w:instrText>
          </w:r>
          <w:r>
            <w:fldChar w:fldCharType="separate"/>
          </w:r>
          <w:r>
            <w:rPr>
              <w:rStyle w:val="49"/>
              <w:rFonts w:eastAsia="黑体"/>
              <w:b/>
              <w:color w:val="000000"/>
              <w:lang w:val="en-US" w:eastAsia="en-US"/>
            </w:rPr>
            <w:t>1评价结论</w:t>
          </w:r>
          <w:r>
            <w:rPr>
              <w:rStyle w:val="49"/>
              <w:lang w:val="en-US" w:eastAsia="en-US"/>
            </w:rPr>
            <w:tab/>
          </w:r>
          <w:r>
            <w:rPr>
              <w:rStyle w:val="49"/>
              <w:lang w:val="en-US" w:eastAsia="en-US"/>
            </w:rPr>
            <w:t>1</w:t>
          </w:r>
          <w:r>
            <w:rPr>
              <w:rStyle w:val="49"/>
              <w:lang w:val="en-US" w:eastAsia="en-US"/>
            </w:rPr>
            <w:fldChar w:fldCharType="end"/>
          </w:r>
        </w:p>
        <w:p>
          <w:pPr>
            <w:pStyle w:val="15"/>
            <w:tabs>
              <w:tab w:val="right" w:leader="dot" w:pos="8835"/>
            </w:tabs>
            <w:ind w:left="607" w:firstLine="607"/>
            <w:rPr>
              <w:rFonts w:ascii="等线" w:hAnsi="等线" w:eastAsia="等线" w:cs="等线"/>
              <w:sz w:val="21"/>
              <w:szCs w:val="22"/>
              <w:lang w:val="en-US" w:eastAsia="en-US"/>
            </w:rPr>
          </w:pPr>
          <w:r>
            <w:fldChar w:fldCharType="begin"/>
          </w:r>
          <w:r>
            <w:instrText xml:space="preserve"> HYPERLINK \l "__RefHeading___Toc142235545" \h </w:instrText>
          </w:r>
          <w:r>
            <w:fldChar w:fldCharType="separate"/>
          </w:r>
          <w:r>
            <w:rPr>
              <w:rStyle w:val="49"/>
              <w:rFonts w:eastAsia="楷体"/>
              <w:color w:val="000000"/>
              <w:lang w:val="en-US" w:eastAsia="en-US"/>
            </w:rPr>
            <w:t>1.1绩效评价分数和等级</w:t>
          </w:r>
          <w:r>
            <w:rPr>
              <w:rStyle w:val="49"/>
              <w:lang w:val="en-US" w:eastAsia="en-US"/>
            </w:rPr>
            <w:tab/>
          </w:r>
          <w:r>
            <w:rPr>
              <w:rStyle w:val="49"/>
              <w:lang w:val="en-US" w:eastAsia="en-US"/>
            </w:rPr>
            <w:t>1</w:t>
          </w:r>
          <w:r>
            <w:rPr>
              <w:rStyle w:val="49"/>
              <w:lang w:val="en-US" w:eastAsia="en-US"/>
            </w:rPr>
            <w:fldChar w:fldCharType="end"/>
          </w:r>
        </w:p>
        <w:p>
          <w:pPr>
            <w:pStyle w:val="15"/>
            <w:tabs>
              <w:tab w:val="right" w:leader="dot" w:pos="8835"/>
            </w:tabs>
            <w:ind w:left="607" w:firstLine="607"/>
            <w:rPr>
              <w:rFonts w:ascii="等线" w:hAnsi="等线" w:eastAsia="等线" w:cs="等线"/>
              <w:sz w:val="21"/>
              <w:szCs w:val="22"/>
              <w:lang w:val="en-US" w:eastAsia="en-US"/>
            </w:rPr>
          </w:pPr>
          <w:r>
            <w:fldChar w:fldCharType="begin"/>
          </w:r>
          <w:r>
            <w:instrText xml:space="preserve"> HYPERLINK \l "__RefHeading___Toc142235546" \h </w:instrText>
          </w:r>
          <w:r>
            <w:fldChar w:fldCharType="separate"/>
          </w:r>
          <w:r>
            <w:rPr>
              <w:rStyle w:val="49"/>
              <w:rFonts w:eastAsia="楷体"/>
              <w:color w:val="000000"/>
              <w:lang w:val="en-US" w:eastAsia="en-US"/>
            </w:rPr>
            <w:t>1.2绩效目标完成情况分析</w:t>
          </w:r>
          <w:r>
            <w:rPr>
              <w:rStyle w:val="49"/>
              <w:lang w:val="en-US" w:eastAsia="en-US"/>
            </w:rPr>
            <w:tab/>
          </w:r>
          <w:r>
            <w:rPr>
              <w:rStyle w:val="49"/>
              <w:lang w:val="en-US" w:eastAsia="en-US"/>
            </w:rPr>
            <w:t>1</w:t>
          </w:r>
          <w:r>
            <w:rPr>
              <w:rStyle w:val="49"/>
              <w:lang w:val="en-US" w:eastAsia="en-US"/>
            </w:rPr>
            <w:fldChar w:fldCharType="end"/>
          </w:r>
        </w:p>
        <w:p>
          <w:pPr>
            <w:pStyle w:val="15"/>
            <w:tabs>
              <w:tab w:val="right" w:leader="dot" w:pos="8835"/>
            </w:tabs>
            <w:ind w:left="607" w:firstLine="607"/>
            <w:rPr>
              <w:rFonts w:ascii="等线" w:hAnsi="等线" w:eastAsia="等线" w:cs="等线"/>
              <w:sz w:val="21"/>
              <w:szCs w:val="22"/>
              <w:lang w:val="en-US" w:eastAsia="en-US"/>
            </w:rPr>
          </w:pPr>
          <w:r>
            <w:fldChar w:fldCharType="begin"/>
          </w:r>
          <w:r>
            <w:instrText xml:space="preserve"> HYPERLINK \l "__RefHeading___Toc142235547" \h </w:instrText>
          </w:r>
          <w:r>
            <w:fldChar w:fldCharType="separate"/>
          </w:r>
          <w:r>
            <w:rPr>
              <w:rStyle w:val="49"/>
              <w:rFonts w:eastAsia="楷体"/>
              <w:color w:val="000000"/>
              <w:lang w:val="en-US" w:eastAsia="en-US"/>
            </w:rPr>
            <w:t>1.3存在的问题和原因</w:t>
          </w:r>
          <w:r>
            <w:rPr>
              <w:rStyle w:val="49"/>
              <w:lang w:val="en-US" w:eastAsia="en-US"/>
            </w:rPr>
            <w:tab/>
          </w:r>
          <w:r>
            <w:rPr>
              <w:rStyle w:val="49"/>
              <w:lang w:val="en-US" w:eastAsia="en-US"/>
            </w:rPr>
            <w:t>2</w:t>
          </w:r>
          <w:r>
            <w:rPr>
              <w:rStyle w:val="49"/>
              <w:lang w:val="en-US" w:eastAsia="en-US"/>
            </w:rPr>
            <w:fldChar w:fldCharType="end"/>
          </w:r>
        </w:p>
        <w:p>
          <w:pPr>
            <w:pStyle w:val="15"/>
            <w:tabs>
              <w:tab w:val="right" w:leader="dot" w:pos="8835"/>
            </w:tabs>
            <w:ind w:left="607" w:firstLine="607"/>
            <w:rPr>
              <w:rFonts w:ascii="等线" w:hAnsi="等线" w:eastAsia="等线" w:cs="等线"/>
              <w:sz w:val="21"/>
              <w:szCs w:val="22"/>
              <w:lang w:val="en-US" w:eastAsia="en-US"/>
            </w:rPr>
          </w:pPr>
          <w:r>
            <w:fldChar w:fldCharType="begin"/>
          </w:r>
          <w:r>
            <w:instrText xml:space="preserve"> HYPERLINK \l "__RefHeading___Toc142235548" \h </w:instrText>
          </w:r>
          <w:r>
            <w:fldChar w:fldCharType="separate"/>
          </w:r>
          <w:r>
            <w:rPr>
              <w:rStyle w:val="49"/>
              <w:rFonts w:eastAsia="楷体"/>
              <w:color w:val="000000"/>
              <w:lang w:val="en-US" w:eastAsia="en-US"/>
            </w:rPr>
            <w:t>1.4结果应用建议</w:t>
          </w:r>
          <w:r>
            <w:rPr>
              <w:rStyle w:val="49"/>
              <w:lang w:val="en-US" w:eastAsia="en-US"/>
            </w:rPr>
            <w:tab/>
          </w:r>
          <w:r>
            <w:rPr>
              <w:rStyle w:val="49"/>
              <w:lang w:val="en-US" w:eastAsia="en-US"/>
            </w:rPr>
            <w:t>3</w:t>
          </w:r>
          <w:r>
            <w:rPr>
              <w:rStyle w:val="49"/>
              <w:lang w:val="en-US" w:eastAsia="en-US"/>
            </w:rPr>
            <w:fldChar w:fldCharType="end"/>
          </w:r>
        </w:p>
        <w:p>
          <w:pPr>
            <w:pStyle w:val="12"/>
            <w:tabs>
              <w:tab w:val="right" w:leader="dot" w:pos="8835"/>
            </w:tabs>
            <w:ind w:firstLine="527"/>
            <w:rPr>
              <w:rFonts w:ascii="等线" w:hAnsi="等线" w:eastAsia="等线" w:cs="等线"/>
              <w:sz w:val="20"/>
              <w:szCs w:val="21"/>
              <w:lang w:val="en-US" w:eastAsia="en-US"/>
            </w:rPr>
          </w:pPr>
          <w:r>
            <w:fldChar w:fldCharType="begin"/>
          </w:r>
          <w:r>
            <w:instrText xml:space="preserve"> HYPERLINK \l "__RefHeading___Toc142235554" \h </w:instrText>
          </w:r>
          <w:r>
            <w:fldChar w:fldCharType="separate"/>
          </w:r>
          <w:r>
            <w:rPr>
              <w:rStyle w:val="49"/>
              <w:color w:val="000000"/>
              <w:sz w:val="28"/>
              <w:szCs w:val="28"/>
              <w:lang w:val="en-US" w:eastAsia="en-US"/>
            </w:rPr>
            <w:t>应急救援中心项目绩效评价评分表</w:t>
          </w:r>
          <w:r>
            <w:rPr>
              <w:rStyle w:val="49"/>
              <w:sz w:val="28"/>
              <w:szCs w:val="28"/>
              <w:lang w:val="en-US" w:eastAsia="en-US"/>
            </w:rPr>
            <w:tab/>
          </w:r>
          <w:r>
            <w:rPr>
              <w:rStyle w:val="49"/>
              <w:sz w:val="28"/>
              <w:szCs w:val="28"/>
              <w:lang w:val="en-US" w:eastAsia="en-US"/>
            </w:rPr>
            <w:t>5</w:t>
          </w:r>
          <w:r>
            <w:rPr>
              <w:rStyle w:val="49"/>
              <w:sz w:val="28"/>
              <w:szCs w:val="28"/>
              <w:lang w:val="en-US" w:eastAsia="en-US"/>
            </w:rPr>
            <w:fldChar w:fldCharType="end"/>
          </w:r>
        </w:p>
        <w:p>
          <w:pPr>
            <w:pStyle w:val="12"/>
            <w:tabs>
              <w:tab w:val="right" w:leader="dot" w:pos="8835"/>
            </w:tabs>
            <w:ind w:firstLine="607"/>
            <w:rPr>
              <w:rFonts w:ascii="等线" w:hAnsi="等线" w:eastAsia="等线" w:cs="等线"/>
              <w:sz w:val="21"/>
              <w:szCs w:val="22"/>
              <w:lang w:val="en-US" w:eastAsia="en-US"/>
            </w:rPr>
          </w:pPr>
          <w:r>
            <w:fldChar w:fldCharType="begin"/>
          </w:r>
          <w:r>
            <w:instrText xml:space="preserve"> HYPERLINK \l "__RefHeading___Toc142235555" \h </w:instrText>
          </w:r>
          <w:r>
            <w:fldChar w:fldCharType="separate"/>
          </w:r>
          <w:r>
            <w:rPr>
              <w:rStyle w:val="49"/>
              <w:rFonts w:eastAsia="黑体"/>
              <w:b/>
              <w:color w:val="000000"/>
              <w:lang w:val="en-US" w:eastAsia="en-US"/>
            </w:rPr>
            <w:t>2佐证材料</w:t>
          </w:r>
          <w:r>
            <w:rPr>
              <w:rStyle w:val="49"/>
              <w:lang w:val="en-US" w:eastAsia="en-US"/>
            </w:rPr>
            <w:tab/>
          </w:r>
          <w:r>
            <w:rPr>
              <w:rStyle w:val="49"/>
              <w:lang w:val="en-US" w:eastAsia="en-US"/>
            </w:rPr>
            <w:t>6</w:t>
          </w:r>
          <w:r>
            <w:rPr>
              <w:rStyle w:val="49"/>
              <w:lang w:val="en-US" w:eastAsia="en-US"/>
            </w:rPr>
            <w:fldChar w:fldCharType="end"/>
          </w:r>
        </w:p>
        <w:p>
          <w:pPr>
            <w:pStyle w:val="15"/>
            <w:tabs>
              <w:tab w:val="right" w:leader="dot" w:pos="8835"/>
            </w:tabs>
            <w:ind w:left="607" w:firstLine="607"/>
            <w:rPr>
              <w:rFonts w:ascii="等线" w:hAnsi="等线" w:eastAsia="等线" w:cs="等线"/>
              <w:sz w:val="21"/>
              <w:szCs w:val="22"/>
              <w:lang w:val="en-US" w:eastAsia="en-US"/>
            </w:rPr>
          </w:pPr>
          <w:r>
            <w:fldChar w:fldCharType="begin"/>
          </w:r>
          <w:r>
            <w:instrText xml:space="preserve"> HYPERLINK \l "__RefHeading___Toc142235556" \h </w:instrText>
          </w:r>
          <w:r>
            <w:fldChar w:fldCharType="separate"/>
          </w:r>
          <w:r>
            <w:rPr>
              <w:rStyle w:val="49"/>
              <w:rFonts w:eastAsia="楷体"/>
              <w:color w:val="000000"/>
              <w:lang w:val="en-US" w:eastAsia="en-US"/>
            </w:rPr>
            <w:t>2.1项目基本情况</w:t>
          </w:r>
          <w:r>
            <w:rPr>
              <w:rStyle w:val="49"/>
              <w:lang w:val="en-US" w:eastAsia="en-US"/>
            </w:rPr>
            <w:tab/>
          </w:r>
          <w:r>
            <w:rPr>
              <w:rStyle w:val="49"/>
              <w:lang w:val="en-US" w:eastAsia="en-US"/>
            </w:rPr>
            <w:t>6</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"__RefHeading___Toc142235557" \h </w:instrText>
          </w:r>
          <w:r>
            <w:fldChar w:fldCharType="separate"/>
          </w:r>
          <w:r>
            <w:rPr>
              <w:rStyle w:val="49"/>
              <w:rFonts w:eastAsia="楷体"/>
              <w:color w:val="000000"/>
              <w:kern w:val="0"/>
              <w:lang w:val="en-US" w:eastAsia="en-US"/>
            </w:rPr>
            <w:t>2.1.1项目立项目的、背景和依据</w:t>
          </w:r>
          <w:r>
            <w:rPr>
              <w:rStyle w:val="49"/>
              <w:lang w:val="en-US" w:eastAsia="en-US"/>
            </w:rPr>
            <w:tab/>
          </w:r>
          <w:r>
            <w:rPr>
              <w:rStyle w:val="49"/>
              <w:lang w:val="en-US" w:eastAsia="en-US"/>
            </w:rPr>
            <w:t>6</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"__RefHeading___Toc142235558" \h </w:instrText>
          </w:r>
          <w:r>
            <w:fldChar w:fldCharType="separate"/>
          </w:r>
          <w:r>
            <w:rPr>
              <w:rStyle w:val="49"/>
              <w:rFonts w:eastAsia="楷体"/>
              <w:color w:val="000000"/>
              <w:kern w:val="0"/>
              <w:lang w:val="en-US" w:eastAsia="en-US"/>
            </w:rPr>
            <w:t>2.1.2项目主要内容及相关主体</w:t>
          </w:r>
          <w:r>
            <w:rPr>
              <w:rStyle w:val="49"/>
              <w:lang w:val="en-US" w:eastAsia="en-US"/>
            </w:rPr>
            <w:tab/>
          </w:r>
          <w:r>
            <w:rPr>
              <w:rStyle w:val="49"/>
              <w:lang w:val="en-US" w:eastAsia="en-US"/>
            </w:rPr>
            <w:t>7</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"__RefHeading___Toc142235559" \h </w:instrText>
          </w:r>
          <w:r>
            <w:fldChar w:fldCharType="separate"/>
          </w:r>
          <w:r>
            <w:rPr>
              <w:rStyle w:val="49"/>
              <w:rFonts w:eastAsia="楷体"/>
              <w:color w:val="000000"/>
              <w:kern w:val="0"/>
              <w:lang w:val="en-US" w:eastAsia="en-US"/>
            </w:rPr>
            <w:t>2.1.3项目绩效目标</w:t>
          </w:r>
          <w:r>
            <w:rPr>
              <w:rStyle w:val="49"/>
              <w:lang w:val="en-US" w:eastAsia="en-US"/>
            </w:rPr>
            <w:tab/>
          </w:r>
          <w:r>
            <w:rPr>
              <w:rStyle w:val="49"/>
              <w:lang w:val="en-US" w:eastAsia="en-US"/>
            </w:rPr>
            <w:t>7</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"__RefHeading___Toc142235560" \h </w:instrText>
          </w:r>
          <w:r>
            <w:fldChar w:fldCharType="separate"/>
          </w:r>
          <w:r>
            <w:rPr>
              <w:rStyle w:val="49"/>
              <w:rFonts w:eastAsia="楷体"/>
              <w:color w:val="000000"/>
              <w:kern w:val="0"/>
              <w:lang w:val="en-US" w:eastAsia="en-US"/>
            </w:rPr>
            <w:t>2.1.4经费来源和资金使用情况</w:t>
          </w:r>
          <w:r>
            <w:rPr>
              <w:rStyle w:val="49"/>
              <w:lang w:val="en-US" w:eastAsia="en-US"/>
            </w:rPr>
            <w:tab/>
          </w:r>
          <w:r>
            <w:rPr>
              <w:rStyle w:val="49"/>
              <w:lang w:val="en-US" w:eastAsia="en-US"/>
            </w:rPr>
            <w:t>8</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"__RefHeading___Toc142235561" \h </w:instrText>
          </w:r>
          <w:r>
            <w:fldChar w:fldCharType="separate"/>
          </w:r>
          <w:r>
            <w:rPr>
              <w:rStyle w:val="49"/>
              <w:rFonts w:eastAsia="楷体"/>
              <w:color w:val="000000"/>
              <w:kern w:val="0"/>
              <w:lang w:val="en-US" w:eastAsia="en-US"/>
            </w:rPr>
            <w:t>2.1.5项目实施情况</w:t>
          </w:r>
          <w:r>
            <w:rPr>
              <w:rStyle w:val="49"/>
              <w:lang w:val="en-US" w:eastAsia="en-US"/>
            </w:rPr>
            <w:tab/>
          </w:r>
          <w:r>
            <w:rPr>
              <w:rStyle w:val="49"/>
              <w:lang w:val="en-US" w:eastAsia="en-US"/>
            </w:rPr>
            <w:t>8</w:t>
          </w:r>
          <w:r>
            <w:rPr>
              <w:rStyle w:val="49"/>
              <w:lang w:val="en-US" w:eastAsia="en-US"/>
            </w:rPr>
            <w:fldChar w:fldCharType="end"/>
          </w:r>
        </w:p>
        <w:p>
          <w:pPr>
            <w:pStyle w:val="15"/>
            <w:tabs>
              <w:tab w:val="right" w:leader="dot" w:pos="8835"/>
            </w:tabs>
            <w:ind w:left="607" w:firstLine="607"/>
            <w:rPr>
              <w:rFonts w:ascii="等线" w:hAnsi="等线" w:eastAsia="等线" w:cs="等线"/>
              <w:sz w:val="21"/>
              <w:szCs w:val="22"/>
              <w:lang w:val="en-US" w:eastAsia="en-US"/>
            </w:rPr>
          </w:pPr>
          <w:r>
            <w:fldChar w:fldCharType="begin"/>
          </w:r>
          <w:r>
            <w:instrText xml:space="preserve"> HYPERLINK \l "__RefHeading___Toc142235562" \h </w:instrText>
          </w:r>
          <w:r>
            <w:fldChar w:fldCharType="separate"/>
          </w:r>
          <w:r>
            <w:rPr>
              <w:rStyle w:val="49"/>
              <w:rFonts w:eastAsia="楷体"/>
              <w:color w:val="000000"/>
              <w:lang w:val="en-US" w:eastAsia="en-US"/>
            </w:rPr>
            <w:t>2.2绩效评价工作开展情况</w:t>
          </w:r>
          <w:r>
            <w:rPr>
              <w:rStyle w:val="49"/>
              <w:lang w:val="en-US" w:eastAsia="en-US"/>
            </w:rPr>
            <w:tab/>
          </w:r>
          <w:r>
            <w:rPr>
              <w:rStyle w:val="49"/>
              <w:lang w:val="en-US" w:eastAsia="en-US"/>
            </w:rPr>
            <w:t>9</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"__RefHeading___Toc142235563" \h </w:instrText>
          </w:r>
          <w:r>
            <w:fldChar w:fldCharType="separate"/>
          </w:r>
          <w:r>
            <w:rPr>
              <w:rStyle w:val="49"/>
              <w:rFonts w:eastAsia="楷体"/>
              <w:color w:val="000000"/>
              <w:kern w:val="0"/>
              <w:lang w:val="en-US" w:eastAsia="en-US"/>
            </w:rPr>
            <w:t>2.2.1绩效评价目的、对象和范围</w:t>
          </w:r>
          <w:r>
            <w:rPr>
              <w:rStyle w:val="49"/>
              <w:lang w:val="en-US" w:eastAsia="en-US"/>
            </w:rPr>
            <w:tab/>
          </w:r>
          <w:r>
            <w:rPr>
              <w:rStyle w:val="49"/>
              <w:lang w:val="en-US" w:eastAsia="en-US"/>
            </w:rPr>
            <w:t>9</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"__RefHeading___Toc142235566" \h </w:instrText>
          </w:r>
          <w:r>
            <w:fldChar w:fldCharType="separate"/>
          </w:r>
          <w:r>
            <w:rPr>
              <w:rStyle w:val="49"/>
              <w:rFonts w:eastAsia="楷体"/>
              <w:color w:val="000000"/>
              <w:kern w:val="0"/>
              <w:lang w:val="en-US" w:eastAsia="en-US"/>
            </w:rPr>
            <w:t>2.2.2评价指标</w:t>
          </w:r>
          <w:r>
            <w:rPr>
              <w:rStyle w:val="49"/>
              <w:lang w:val="en-US" w:eastAsia="en-US"/>
            </w:rPr>
            <w:tab/>
          </w:r>
          <w:r>
            <w:rPr>
              <w:rStyle w:val="49"/>
              <w:lang w:val="en-US" w:eastAsia="en-US"/>
            </w:rPr>
            <w:t>10</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"__RefHeading___Toc142235567" \h </w:instrText>
          </w:r>
          <w:r>
            <w:fldChar w:fldCharType="separate"/>
          </w:r>
          <w:r>
            <w:rPr>
              <w:rStyle w:val="49"/>
              <w:rFonts w:eastAsia="楷体"/>
              <w:color w:val="000000"/>
              <w:kern w:val="0"/>
              <w:lang w:val="en-US" w:eastAsia="en-US"/>
            </w:rPr>
            <w:t>2.2.3综合评分方法</w:t>
          </w:r>
          <w:r>
            <w:rPr>
              <w:rStyle w:val="49"/>
              <w:lang w:val="en-US" w:eastAsia="en-US"/>
            </w:rPr>
            <w:tab/>
          </w:r>
          <w:r>
            <w:rPr>
              <w:rStyle w:val="49"/>
              <w:lang w:val="en-US" w:eastAsia="en-US"/>
            </w:rPr>
            <w:t>10</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"__RefHeading___Toc142235568" \h </w:instrText>
          </w:r>
          <w:r>
            <w:fldChar w:fldCharType="separate"/>
          </w:r>
          <w:r>
            <w:rPr>
              <w:rStyle w:val="49"/>
              <w:rFonts w:eastAsia="楷体"/>
              <w:color w:val="000000"/>
              <w:kern w:val="0"/>
              <w:lang w:val="en-US" w:eastAsia="en-US"/>
            </w:rPr>
            <w:t>2.2.4评价方法</w:t>
          </w:r>
          <w:r>
            <w:rPr>
              <w:rStyle w:val="49"/>
              <w:lang w:val="en-US" w:eastAsia="en-US"/>
            </w:rPr>
            <w:tab/>
          </w:r>
          <w:r>
            <w:rPr>
              <w:rStyle w:val="49"/>
              <w:lang w:val="en-US" w:eastAsia="en-US"/>
            </w:rPr>
            <w:t>11</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"__RefHeading___Toc142235569" \h </w:instrText>
          </w:r>
          <w:r>
            <w:fldChar w:fldCharType="separate"/>
          </w:r>
          <w:r>
            <w:rPr>
              <w:rStyle w:val="49"/>
              <w:rFonts w:eastAsia="楷体"/>
              <w:color w:val="000000"/>
              <w:kern w:val="0"/>
              <w:lang w:val="en-US" w:eastAsia="en-US"/>
            </w:rPr>
            <w:t>2.2.5时间安排</w:t>
          </w:r>
          <w:r>
            <w:rPr>
              <w:rStyle w:val="49"/>
              <w:lang w:val="en-US" w:eastAsia="en-US"/>
            </w:rPr>
            <w:tab/>
          </w:r>
          <w:r>
            <w:rPr>
              <w:rStyle w:val="49"/>
              <w:lang w:val="en-US" w:eastAsia="en-US"/>
            </w:rPr>
            <w:t>11</w:t>
          </w:r>
          <w:r>
            <w:rPr>
              <w:rStyle w:val="49"/>
              <w:lang w:val="en-US" w:eastAsia="en-US"/>
            </w:rPr>
            <w:fldChar w:fldCharType="end"/>
          </w:r>
        </w:p>
        <w:p>
          <w:pPr>
            <w:pStyle w:val="15"/>
            <w:tabs>
              <w:tab w:val="right" w:leader="dot" w:pos="8835"/>
            </w:tabs>
            <w:ind w:left="607" w:firstLine="607"/>
            <w:rPr>
              <w:rFonts w:ascii="等线" w:hAnsi="等线" w:eastAsia="等线" w:cs="等线"/>
              <w:sz w:val="21"/>
              <w:szCs w:val="22"/>
              <w:lang w:val="en-US" w:eastAsia="en-US"/>
            </w:rPr>
          </w:pPr>
          <w:r>
            <w:fldChar w:fldCharType="begin"/>
          </w:r>
          <w:r>
            <w:instrText xml:space="preserve"> HYPERLINK \l "__RefHeading___Toc142235570" \h </w:instrText>
          </w:r>
          <w:r>
            <w:fldChar w:fldCharType="separate"/>
          </w:r>
          <w:r>
            <w:rPr>
              <w:rStyle w:val="49"/>
              <w:rFonts w:eastAsia="楷体"/>
              <w:color w:val="000000"/>
              <w:lang w:val="en-US" w:eastAsia="en-US"/>
            </w:rPr>
            <w:t>2.3绩效分析及评价结论</w:t>
          </w:r>
          <w:r>
            <w:rPr>
              <w:rStyle w:val="49"/>
              <w:lang w:val="en-US" w:eastAsia="en-US"/>
            </w:rPr>
            <w:tab/>
          </w:r>
          <w:r>
            <w:rPr>
              <w:rStyle w:val="49"/>
              <w:lang w:val="en-US" w:eastAsia="en-US"/>
            </w:rPr>
            <w:t>12</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"__RefHeading___Toc142235571" \h </w:instrText>
          </w:r>
          <w:r>
            <w:fldChar w:fldCharType="separate"/>
          </w:r>
          <w:r>
            <w:rPr>
              <w:rStyle w:val="49"/>
              <w:rFonts w:eastAsia="楷体"/>
              <w:color w:val="000000"/>
              <w:kern w:val="0"/>
              <w:lang w:val="en-US" w:eastAsia="en-US"/>
            </w:rPr>
            <w:t>2.3.1决策情况分析</w:t>
          </w:r>
          <w:r>
            <w:rPr>
              <w:rStyle w:val="49"/>
              <w:lang w:val="en-US" w:eastAsia="en-US"/>
            </w:rPr>
            <w:tab/>
          </w:r>
          <w:r>
            <w:rPr>
              <w:rStyle w:val="49"/>
              <w:lang w:val="en-US" w:eastAsia="en-US"/>
            </w:rPr>
            <w:t>12</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"__RefHeading___Toc142235572" \h </w:instrText>
          </w:r>
          <w:r>
            <w:fldChar w:fldCharType="separate"/>
          </w:r>
          <w:r>
            <w:rPr>
              <w:rStyle w:val="49"/>
              <w:rFonts w:eastAsia="楷体"/>
              <w:color w:val="000000"/>
              <w:kern w:val="0"/>
              <w:lang w:val="en-US" w:eastAsia="en-US"/>
            </w:rPr>
            <w:t>2.3.2过程情况分析</w:t>
          </w:r>
          <w:r>
            <w:rPr>
              <w:rStyle w:val="49"/>
              <w:lang w:val="en-US" w:eastAsia="en-US"/>
            </w:rPr>
            <w:tab/>
          </w:r>
          <w:r>
            <w:rPr>
              <w:rStyle w:val="49"/>
              <w:lang w:val="en-US" w:eastAsia="en-US"/>
            </w:rPr>
            <w:t>14</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"__RefHeading___Toc142235573" \h </w:instrText>
          </w:r>
          <w:r>
            <w:fldChar w:fldCharType="separate"/>
          </w:r>
          <w:r>
            <w:rPr>
              <w:rStyle w:val="49"/>
              <w:rFonts w:eastAsia="楷体"/>
              <w:color w:val="000000"/>
              <w:lang w:val="en-US" w:eastAsia="en-US"/>
            </w:rPr>
            <w:t>2.3.3项目产出情况分析</w:t>
          </w:r>
          <w:r>
            <w:rPr>
              <w:rStyle w:val="49"/>
              <w:lang w:val="en-US" w:eastAsia="en-US"/>
            </w:rPr>
            <w:tab/>
          </w:r>
          <w:r>
            <w:rPr>
              <w:rStyle w:val="49"/>
              <w:lang w:val="en-US" w:eastAsia="en-US"/>
            </w:rPr>
            <w:t>15</w:t>
          </w:r>
          <w:r>
            <w:rPr>
              <w:rStyle w:val="49"/>
              <w:lang w:val="en-US" w:eastAsia="en-US"/>
            </w:rPr>
            <w:fldChar w:fldCharType="end"/>
          </w:r>
        </w:p>
        <w:p>
          <w:pPr>
            <w:pStyle w:val="10"/>
            <w:tabs>
              <w:tab w:val="right" w:leader="dot" w:pos="8835"/>
            </w:tabs>
            <w:ind w:left="1215" w:firstLine="607"/>
            <w:rPr>
              <w:rFonts w:ascii="等线" w:hAnsi="等线" w:eastAsia="等线" w:cs="等线"/>
              <w:sz w:val="21"/>
              <w:szCs w:val="22"/>
              <w:lang w:val="en-US" w:eastAsia="en-US"/>
            </w:rPr>
          </w:pPr>
          <w:r>
            <w:fldChar w:fldCharType="begin"/>
          </w:r>
          <w:r>
            <w:instrText xml:space="preserve"> HYPERLINK \l "__RefHeading___Toc142235574" \h </w:instrText>
          </w:r>
          <w:r>
            <w:fldChar w:fldCharType="separate"/>
          </w:r>
          <w:r>
            <w:rPr>
              <w:rStyle w:val="49"/>
              <w:rFonts w:eastAsia="楷体"/>
              <w:color w:val="000000"/>
              <w:kern w:val="0"/>
              <w:lang w:val="en-US" w:eastAsia="en-US"/>
            </w:rPr>
            <w:t>2.3.4效益情况分析</w:t>
          </w:r>
          <w:r>
            <w:rPr>
              <w:rStyle w:val="49"/>
              <w:lang w:val="en-US" w:eastAsia="en-US"/>
            </w:rPr>
            <w:tab/>
          </w:r>
          <w:r>
            <w:rPr>
              <w:rStyle w:val="49"/>
              <w:lang w:val="en-US" w:eastAsia="en-US"/>
            </w:rPr>
            <w:t>16</w:t>
          </w:r>
          <w:r>
            <w:rPr>
              <w:rStyle w:val="49"/>
              <w:lang w:val="en-US" w:eastAsia="en-US"/>
            </w:rPr>
            <w:fldChar w:fldCharType="end"/>
          </w:r>
        </w:p>
        <w:p>
          <w:pPr>
            <w:pStyle w:val="15"/>
            <w:tabs>
              <w:tab w:val="right" w:leader="dot" w:pos="8835"/>
            </w:tabs>
            <w:ind w:left="607" w:firstLine="607"/>
            <w:rPr>
              <w:rFonts w:ascii="等线" w:hAnsi="等线" w:eastAsia="等线" w:cs="等线"/>
              <w:sz w:val="21"/>
              <w:szCs w:val="22"/>
              <w:lang w:val="en-US" w:eastAsia="en-US"/>
            </w:rPr>
          </w:pPr>
          <w:r>
            <w:fldChar w:fldCharType="begin"/>
          </w:r>
          <w:r>
            <w:instrText xml:space="preserve"> HYPERLINK \l "__RefHeading___Toc142235575" \h </w:instrText>
          </w:r>
          <w:r>
            <w:fldChar w:fldCharType="separate"/>
          </w:r>
          <w:r>
            <w:rPr>
              <w:rStyle w:val="49"/>
              <w:rFonts w:eastAsia="楷体"/>
              <w:color w:val="000000"/>
              <w:lang w:val="en-US" w:eastAsia="en-US"/>
            </w:rPr>
            <w:t>2.4上年度评价结果应用情况</w:t>
          </w:r>
          <w:r>
            <w:rPr>
              <w:rStyle w:val="49"/>
              <w:lang w:val="en-US" w:eastAsia="en-US"/>
            </w:rPr>
            <w:tab/>
          </w:r>
          <w:r>
            <w:rPr>
              <w:rStyle w:val="49"/>
              <w:lang w:val="en-US" w:eastAsia="en-US"/>
            </w:rPr>
            <w:t>17</w:t>
          </w:r>
          <w:r>
            <w:rPr>
              <w:rStyle w:val="49"/>
              <w:lang w:val="en-US" w:eastAsia="en-US"/>
            </w:rPr>
            <w:fldChar w:fldCharType="end"/>
          </w:r>
        </w:p>
        <w:p>
          <w:pPr>
            <w:pStyle w:val="15"/>
            <w:tabs>
              <w:tab w:val="right" w:leader="dot" w:pos="8835"/>
            </w:tabs>
            <w:ind w:left="607" w:firstLine="607"/>
            <w:rPr>
              <w:rFonts w:ascii="等线" w:hAnsi="等线" w:eastAsia="等线" w:cs="等线"/>
              <w:sz w:val="21"/>
              <w:szCs w:val="22"/>
              <w:lang w:val="en-US" w:eastAsia="en-US"/>
            </w:rPr>
          </w:pPr>
          <w:r>
            <w:fldChar w:fldCharType="begin"/>
          </w:r>
          <w:r>
            <w:instrText xml:space="preserve"> HYPERLINK \l "__RefHeading___Toc142235577" \h </w:instrText>
          </w:r>
          <w:r>
            <w:fldChar w:fldCharType="separate"/>
          </w:r>
          <w:r>
            <w:rPr>
              <w:rStyle w:val="49"/>
              <w:rFonts w:eastAsia="楷体"/>
              <w:b/>
              <w:bCs/>
              <w:color w:val="000000"/>
              <w:lang w:val="en-US" w:eastAsia="en-US"/>
            </w:rPr>
            <w:t>2.5其他佐证材料</w:t>
          </w:r>
          <w:r>
            <w:rPr>
              <w:rStyle w:val="49"/>
              <w:lang w:val="en-US" w:eastAsia="en-US"/>
            </w:rPr>
            <w:tab/>
          </w:r>
          <w:r>
            <w:rPr>
              <w:rStyle w:val="49"/>
              <w:lang w:val="en-US" w:eastAsia="en-US"/>
            </w:rPr>
            <w:t>17</w:t>
          </w:r>
          <w:r>
            <w:rPr>
              <w:rStyle w:val="49"/>
              <w:lang w:val="en-US" w:eastAsia="en-US"/>
            </w:rPr>
            <w:fldChar w:fldCharType="end"/>
          </w:r>
        </w:p>
        <w:p>
          <w:pPr>
            <w:pStyle w:val="15"/>
            <w:tabs>
              <w:tab w:val="right" w:leader="dot" w:pos="8835"/>
            </w:tabs>
            <w:ind w:left="607" w:firstLine="607"/>
            <w:rPr>
              <w:rFonts w:ascii="等线" w:hAnsi="等线" w:eastAsia="等线" w:cs="等线"/>
              <w:sz w:val="21"/>
              <w:szCs w:val="22"/>
              <w:lang w:val="en-US" w:eastAsia="en-US"/>
            </w:rPr>
          </w:pPr>
          <w:r>
            <w:fldChar w:fldCharType="begin"/>
          </w:r>
          <w:r>
            <w:instrText xml:space="preserve"> HYPERLINK \l "__RefHeading___Toc142235582" \h </w:instrText>
          </w:r>
          <w:r>
            <w:fldChar w:fldCharType="separate"/>
          </w:r>
          <w:r>
            <w:rPr>
              <w:rStyle w:val="49"/>
              <w:rFonts w:eastAsia="楷体"/>
              <w:color w:val="000000"/>
              <w:lang w:val="en-US" w:eastAsia="en-US"/>
            </w:rPr>
            <w:t>附件1绩效评价指标体系评分明细表</w:t>
          </w:r>
          <w:r>
            <w:rPr>
              <w:rStyle w:val="49"/>
              <w:lang w:val="en-US" w:eastAsia="en-US"/>
            </w:rPr>
            <w:tab/>
          </w:r>
          <w:r>
            <w:rPr>
              <w:rStyle w:val="49"/>
              <w:lang w:val="en-US" w:eastAsia="en-US"/>
            </w:rPr>
            <w:t>18</w:t>
          </w:r>
          <w:r>
            <w:rPr>
              <w:rStyle w:val="49"/>
              <w:lang w:val="en-US" w:eastAsia="en-US"/>
            </w:rPr>
            <w:fldChar w:fldCharType="end"/>
          </w:r>
        </w:p>
        <w:p>
          <w:pPr>
            <w:pStyle w:val="15"/>
            <w:tabs>
              <w:tab w:val="right" w:leader="dot" w:pos="8835"/>
            </w:tabs>
            <w:ind w:left="607" w:firstLine="607"/>
            <w:rPr>
              <w:rFonts w:ascii="等线" w:hAnsi="等线" w:eastAsia="等线" w:cs="等线"/>
              <w:sz w:val="21"/>
              <w:szCs w:val="22"/>
              <w:lang w:val="en-US" w:eastAsia="en-US"/>
            </w:rPr>
          </w:pPr>
          <w:r>
            <w:fldChar w:fldCharType="begin"/>
          </w:r>
          <w:r>
            <w:instrText xml:space="preserve"> HYPERLINK \l "__RefHeading___Toc142235583" \h </w:instrText>
          </w:r>
          <w:r>
            <w:fldChar w:fldCharType="separate"/>
          </w:r>
          <w:r>
            <w:rPr>
              <w:rStyle w:val="49"/>
              <w:rFonts w:eastAsia="楷体"/>
              <w:color w:val="000000"/>
              <w:lang w:val="en-US" w:eastAsia="en-US"/>
            </w:rPr>
            <w:t>附件2 项目绩效目标申报表</w:t>
          </w:r>
          <w:r>
            <w:rPr>
              <w:rStyle w:val="49"/>
              <w:lang w:val="en-US" w:eastAsia="en-US"/>
            </w:rPr>
            <w:tab/>
          </w:r>
          <w:r>
            <w:rPr>
              <w:rStyle w:val="49"/>
              <w:lang w:val="en-US" w:eastAsia="en-US"/>
            </w:rPr>
            <w:t>27</w:t>
          </w:r>
          <w:r>
            <w:rPr>
              <w:rStyle w:val="49"/>
              <w:lang w:val="en-US" w:eastAsia="en-US"/>
            </w:rPr>
            <w:fldChar w:fldCharType="end"/>
          </w:r>
        </w:p>
        <w:p>
          <w:pPr>
            <w:pStyle w:val="15"/>
            <w:tabs>
              <w:tab w:val="right" w:leader="dot" w:pos="8835"/>
            </w:tabs>
            <w:ind w:left="607" w:firstLine="607"/>
            <w:rPr>
              <w:rFonts w:ascii="等线" w:hAnsi="等线" w:eastAsia="等线" w:cs="等线"/>
              <w:sz w:val="21"/>
              <w:szCs w:val="22"/>
              <w:lang w:val="en-US" w:eastAsia="en-US"/>
            </w:rPr>
          </w:pPr>
          <w:r>
            <w:fldChar w:fldCharType="begin"/>
          </w:r>
          <w:r>
            <w:instrText xml:space="preserve"> HYPERLINK \l "__RefHeading___Toc142235584" \h </w:instrText>
          </w:r>
          <w:r>
            <w:fldChar w:fldCharType="separate"/>
          </w:r>
          <w:r>
            <w:rPr>
              <w:rStyle w:val="49"/>
              <w:rFonts w:eastAsia="楷体"/>
              <w:color w:val="000000"/>
              <w:lang w:val="en-US" w:eastAsia="en-US"/>
            </w:rPr>
            <w:t>附件3 资金使用明细表</w:t>
          </w:r>
          <w:r>
            <w:rPr>
              <w:rStyle w:val="49"/>
              <w:lang w:val="en-US" w:eastAsia="en-US"/>
            </w:rPr>
            <w:tab/>
          </w:r>
          <w:r>
            <w:rPr>
              <w:rStyle w:val="49"/>
              <w:lang w:val="en-US" w:eastAsia="en-US"/>
            </w:rPr>
            <w:t>31</w:t>
          </w:r>
          <w:r>
            <w:rPr>
              <w:rStyle w:val="49"/>
              <w:lang w:val="en-US" w:eastAsia="en-US"/>
            </w:rPr>
            <w:fldChar w:fldCharType="end"/>
          </w:r>
        </w:p>
        <w:p>
          <w:pPr>
            <w:pStyle w:val="15"/>
            <w:tabs>
              <w:tab w:val="right" w:leader="dot" w:pos="8835"/>
            </w:tabs>
            <w:ind w:left="607" w:firstLine="607"/>
            <w:rPr>
              <w:rFonts w:ascii="等线" w:hAnsi="等线" w:eastAsia="等线" w:cs="等线"/>
              <w:sz w:val="21"/>
              <w:szCs w:val="22"/>
              <w:lang w:val="en-US" w:eastAsia="en-US"/>
            </w:rPr>
          </w:pPr>
          <w:r>
            <w:fldChar w:fldCharType="begin"/>
          </w:r>
          <w:r>
            <w:instrText xml:space="preserve"> HYPERLINK \l "__RefHeading___Toc142235585" \h </w:instrText>
          </w:r>
          <w:r>
            <w:fldChar w:fldCharType="separate"/>
          </w:r>
          <w:r>
            <w:rPr>
              <w:rStyle w:val="49"/>
              <w:rFonts w:eastAsia="楷体"/>
              <w:color w:val="000000"/>
              <w:lang w:val="en-US" w:eastAsia="en-US"/>
            </w:rPr>
            <w:t>附件4 项目现场访谈、调查照片</w:t>
          </w:r>
          <w:r>
            <w:rPr>
              <w:rStyle w:val="49"/>
              <w:lang w:val="en-US" w:eastAsia="en-US"/>
            </w:rPr>
            <w:tab/>
          </w:r>
          <w:r>
            <w:rPr>
              <w:rStyle w:val="49"/>
              <w:lang w:val="en-US" w:eastAsia="en-US"/>
            </w:rPr>
            <w:t>37</w:t>
          </w:r>
          <w:r>
            <w:rPr>
              <w:rStyle w:val="49"/>
              <w:lang w:val="en-US" w:eastAsia="en-US"/>
            </w:rPr>
            <w:fldChar w:fldCharType="end"/>
          </w:r>
        </w:p>
        <w:p>
          <w:pPr>
            <w:pStyle w:val="12"/>
            <w:tabs>
              <w:tab w:val="right" w:leader="dot" w:pos="8835"/>
            </w:tabs>
            <w:ind w:firstLine="607"/>
            <w:rPr>
              <w:rFonts w:ascii="等线" w:hAnsi="等线" w:eastAsia="等线" w:cs="等线"/>
              <w:sz w:val="21"/>
              <w:szCs w:val="22"/>
              <w:lang w:val="en-US" w:eastAsia="en-US"/>
            </w:rPr>
          </w:pPr>
          <w:r>
            <w:fldChar w:fldCharType="begin"/>
          </w:r>
          <w:r>
            <w:instrText xml:space="preserve"> HYPERLINK \l "__RefHeading___Toc142235587" \h </w:instrText>
          </w:r>
          <w:r>
            <w:fldChar w:fldCharType="separate"/>
          </w:r>
          <w:r>
            <w:rPr>
              <w:rStyle w:val="49"/>
              <w:rFonts w:ascii="黑体" w:hAnsi="黑体" w:eastAsia="黑体" w:cs="黑体"/>
              <w:color w:val="000000"/>
              <w:lang w:val="en-US" w:eastAsia="en-US"/>
            </w:rPr>
            <w:t>3.原始资料</w:t>
          </w:r>
          <w:r>
            <w:rPr>
              <w:rStyle w:val="49"/>
              <w:lang w:val="en-US" w:eastAsia="en-US"/>
            </w:rPr>
            <w:tab/>
          </w:r>
          <w:r>
            <w:rPr>
              <w:rStyle w:val="49"/>
              <w:lang w:val="en-US" w:eastAsia="en-US"/>
            </w:rPr>
            <w:t>38</w:t>
          </w:r>
          <w:r>
            <w:rPr>
              <w:rStyle w:val="49"/>
              <w:lang w:val="en-US" w:eastAsia="en-US"/>
            </w:rPr>
            <w:fldChar w:fldCharType="end"/>
          </w:r>
          <w:r>
            <w:rPr>
              <w:rStyle w:val="49"/>
              <w:lang w:val="en-US" w:eastAsia="en-US"/>
            </w:rPr>
            <w:fldChar w:fldCharType="end"/>
          </w:r>
        </w:p>
      </w:sdtContent>
    </w:sdt>
    <w:p>
      <w:pPr>
        <w:pStyle w:val="15"/>
        <w:tabs>
          <w:tab w:val="right" w:leader="dot" w:pos="8845"/>
        </w:tabs>
        <w:spacing w:line="240" w:lineRule="auto"/>
        <w:ind w:left="607" w:firstLine="0"/>
        <w:jc w:val="center"/>
        <w:rPr>
          <w:rFonts w:ascii="等线" w:hAnsi="等线" w:eastAsia="等线" w:cs="等线"/>
          <w:sz w:val="21"/>
          <w:szCs w:val="22"/>
          <w:lang w:val="en-US" w:eastAsia="en-US"/>
        </w:rPr>
        <w:sectPr>
          <w:headerReference r:id="rId4" w:type="default"/>
          <w:footerReference r:id="rId5" w:type="default"/>
          <w:pgSz w:w="11906" w:h="16838"/>
          <w:pgMar w:top="2098" w:right="1474" w:bottom="1984" w:left="1587" w:header="851" w:footer="1304" w:gutter="0"/>
          <w:pgNumType w:fmt="decimal"/>
          <w:formProt w:val="0"/>
          <w:docGrid w:type="linesAndChars" w:linePitch="610" w:charSpace="-3482"/>
        </w:sectPr>
      </w:pPr>
    </w:p>
    <w:p>
      <w:pPr>
        <w:numPr>
          <w:ilvl w:val="0"/>
          <w:numId w:val="0"/>
        </w:numPr>
        <w:ind w:firstLine="690"/>
        <w:jc w:val="center"/>
        <w:outlineLvl w:val="0"/>
        <w:rPr>
          <w:rFonts w:ascii="宋体" w:hAnsi="宋体" w:eastAsia="宋体" w:cs="宋体"/>
          <w:b/>
          <w:sz w:val="36"/>
          <w:szCs w:val="36"/>
        </w:rPr>
      </w:pPr>
      <w:r>
        <w:rPr>
          <w:rFonts w:ascii="宋体" w:hAnsi="宋体" w:eastAsia="宋体" w:cs="宋体"/>
          <w:b/>
          <w:sz w:val="36"/>
          <w:szCs w:val="36"/>
        </w:rPr>
        <w:t>应急救援中心项目绩效评价报告</w:t>
      </w:r>
    </w:p>
    <w:p>
      <w:pPr>
        <w:numPr>
          <w:ilvl w:val="0"/>
          <w:numId w:val="0"/>
        </w:numPr>
        <w:ind w:firstLine="0"/>
        <w:jc w:val="center"/>
        <w:outlineLvl w:val="0"/>
        <w:rPr>
          <w:rFonts w:eastAsia="楷体" w:cs="楷体"/>
          <w:b/>
        </w:rPr>
      </w:pPr>
      <w:r>
        <w:rPr>
          <w:rFonts w:eastAsia="楷体" w:cs="楷体"/>
          <w:b/>
        </w:rPr>
        <w:t>（专业版）</w:t>
      </w:r>
    </w:p>
    <w:p>
      <w:pPr>
        <w:pStyle w:val="50"/>
        <w:numPr>
          <w:ilvl w:val="0"/>
          <w:numId w:val="0"/>
        </w:numPr>
        <w:shd w:val="clear" w:fill="FFFFFF"/>
        <w:spacing w:line="560" w:lineRule="exact"/>
        <w:ind w:firstLine="610"/>
        <w:jc w:val="both"/>
        <w:outlineLvl w:val="0"/>
        <w:rPr>
          <w:rFonts w:ascii="Times New Roman" w:hAnsi="Times New Roman" w:eastAsia="黑体" w:cs="Times New Roman"/>
          <w:b/>
          <w:sz w:val="32"/>
        </w:rPr>
      </w:pPr>
      <w:bookmarkStart w:id="0" w:name="__RefHeading___Toc142235544"/>
      <w:bookmarkEnd w:id="0"/>
      <w:r>
        <w:rPr>
          <w:rFonts w:ascii="Times New Roman" w:hAnsi="Times New Roman" w:eastAsia="黑体" w:cs="Times New Roman"/>
          <w:b/>
          <w:sz w:val="32"/>
        </w:rPr>
        <w:t>1评价结论</w:t>
      </w:r>
    </w:p>
    <w:p>
      <w:pPr>
        <w:pStyle w:val="4"/>
        <w:shd w:val="clear" w:fill="FFFFFF"/>
        <w:spacing w:before="0" w:after="0" w:line="560" w:lineRule="exact"/>
        <w:ind w:firstLine="610"/>
        <w:contextualSpacing/>
        <w:jc w:val="left"/>
        <w:rPr>
          <w:rFonts w:ascii="Times New Roman" w:hAnsi="Times New Roman" w:eastAsia="楷体" w:cs="Times New Roman"/>
        </w:rPr>
      </w:pPr>
      <w:bookmarkStart w:id="1" w:name="__RefHeading___Toc142235545"/>
      <w:bookmarkEnd w:id="1"/>
      <w:r>
        <w:rPr>
          <w:rFonts w:ascii="Times New Roman" w:hAnsi="Times New Roman" w:eastAsia="楷体" w:cs="Times New Roman"/>
        </w:rPr>
        <w:t>1.1绩效评价分数和等级</w:t>
      </w:r>
    </w:p>
    <w:p>
      <w:pPr>
        <w:ind w:firstLine="607"/>
        <w:rPr>
          <w:rFonts w:ascii="仿宋" w:hAnsi="仿宋" w:cs="仿宋"/>
        </w:rPr>
      </w:pPr>
      <w:r>
        <w:rPr>
          <w:rFonts w:ascii="仿宋" w:hAnsi="仿宋" w:cs="仿宋"/>
          <w:kern w:val="0"/>
        </w:rPr>
        <w:t>崇阳县应急管理局应急救援中心项目（后简称“本项目”）绩效评价综合得分为83.15分，评价等级为“良”</w:t>
      </w:r>
      <w:r>
        <w:rPr>
          <w:rFonts w:ascii="仿宋" w:hAnsi="仿宋" w:cs="仿宋"/>
        </w:rPr>
        <w:t>。</w:t>
      </w:r>
    </w:p>
    <w:p>
      <w:pPr>
        <w:tabs>
          <w:tab w:val="left" w:pos="2977"/>
        </w:tabs>
        <w:spacing w:line="520" w:lineRule="exact"/>
        <w:ind w:firstLine="607"/>
        <w:jc w:val="center"/>
        <w:rPr>
          <w:rFonts w:ascii="仿宋" w:hAnsi="仿宋" w:cs="仿宋"/>
          <w:bCs/>
        </w:rPr>
      </w:pPr>
      <w:r>
        <w:rPr>
          <w:rFonts w:ascii="仿宋" w:hAnsi="仿宋" w:cs="仿宋"/>
          <w:bCs/>
        </w:rPr>
        <w:t>表1.1评分结果一览表</w:t>
      </w:r>
    </w:p>
    <w:tbl>
      <w:tblPr>
        <w:tblStyle w:val="19"/>
        <w:tblW w:w="6158" w:type="dxa"/>
        <w:jc w:val="center"/>
        <w:tblInd w:w="0" w:type="dxa"/>
        <w:tblLayout w:type="fixed"/>
        <w:tblCellMar>
          <w:top w:w="0" w:type="dxa"/>
          <w:left w:w="108" w:type="dxa"/>
          <w:bottom w:w="0" w:type="dxa"/>
          <w:right w:w="108" w:type="dxa"/>
        </w:tblCellMar>
      </w:tblPr>
      <w:tblGrid>
        <w:gridCol w:w="2030"/>
        <w:gridCol w:w="2081"/>
        <w:gridCol w:w="2047"/>
      </w:tblGrid>
      <w:tr>
        <w:tblPrEx>
          <w:tblLayout w:type="fixed"/>
          <w:tblCellMar>
            <w:top w:w="0" w:type="dxa"/>
            <w:left w:w="108" w:type="dxa"/>
            <w:bottom w:w="0" w:type="dxa"/>
            <w:right w:w="108" w:type="dxa"/>
          </w:tblCellMar>
        </w:tblPrEx>
        <w:trPr>
          <w:trHeight w:val="454" w:hRule="atLeast"/>
          <w:jc w:val="center"/>
        </w:trPr>
        <w:tc>
          <w:tcPr>
            <w:tcW w:w="2030"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b/>
                <w:bCs/>
                <w:sz w:val="24"/>
                <w:szCs w:val="24"/>
              </w:rPr>
            </w:pPr>
            <w:r>
              <w:rPr>
                <w:rFonts w:ascii="仿宋" w:hAnsi="仿宋" w:cs="仿宋"/>
                <w:b/>
                <w:bCs/>
                <w:sz w:val="24"/>
                <w:szCs w:val="24"/>
              </w:rPr>
              <w:t>评价准则</w:t>
            </w:r>
          </w:p>
        </w:tc>
        <w:tc>
          <w:tcPr>
            <w:tcW w:w="2081"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b/>
                <w:bCs/>
                <w:sz w:val="24"/>
                <w:szCs w:val="24"/>
              </w:rPr>
            </w:pPr>
            <w:r>
              <w:rPr>
                <w:rFonts w:ascii="仿宋" w:hAnsi="仿宋" w:cs="仿宋"/>
                <w:b/>
                <w:bCs/>
                <w:sz w:val="24"/>
                <w:szCs w:val="24"/>
              </w:rPr>
              <w:t>准则分值</w:t>
            </w:r>
          </w:p>
        </w:tc>
        <w:tc>
          <w:tcPr>
            <w:tcW w:w="2047"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b/>
                <w:bCs/>
                <w:sz w:val="24"/>
                <w:szCs w:val="24"/>
              </w:rPr>
            </w:pPr>
            <w:r>
              <w:rPr>
                <w:rFonts w:ascii="仿宋" w:hAnsi="仿宋" w:cs="仿宋"/>
                <w:b/>
                <w:bCs/>
                <w:sz w:val="24"/>
                <w:szCs w:val="24"/>
              </w:rPr>
              <w:t>评价得分</w:t>
            </w:r>
          </w:p>
        </w:tc>
      </w:tr>
      <w:tr>
        <w:tblPrEx>
          <w:tblLayout w:type="fixed"/>
          <w:tblCellMar>
            <w:top w:w="0" w:type="dxa"/>
            <w:left w:w="108" w:type="dxa"/>
            <w:bottom w:w="0" w:type="dxa"/>
            <w:right w:w="108" w:type="dxa"/>
          </w:tblCellMar>
        </w:tblPrEx>
        <w:trPr>
          <w:trHeight w:val="454" w:hRule="atLeast"/>
          <w:jc w:val="center"/>
        </w:trPr>
        <w:tc>
          <w:tcPr>
            <w:tcW w:w="2030"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项目决策</w:t>
            </w:r>
          </w:p>
        </w:tc>
        <w:tc>
          <w:tcPr>
            <w:tcW w:w="2081"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20分</w:t>
            </w:r>
          </w:p>
        </w:tc>
        <w:tc>
          <w:tcPr>
            <w:tcW w:w="2047"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18分</w:t>
            </w:r>
          </w:p>
        </w:tc>
      </w:tr>
      <w:tr>
        <w:tblPrEx>
          <w:tblLayout w:type="fixed"/>
          <w:tblCellMar>
            <w:top w:w="0" w:type="dxa"/>
            <w:left w:w="108" w:type="dxa"/>
            <w:bottom w:w="0" w:type="dxa"/>
            <w:right w:w="108" w:type="dxa"/>
          </w:tblCellMar>
        </w:tblPrEx>
        <w:trPr>
          <w:trHeight w:val="454" w:hRule="atLeast"/>
          <w:jc w:val="center"/>
        </w:trPr>
        <w:tc>
          <w:tcPr>
            <w:tcW w:w="2030"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项目过程</w:t>
            </w:r>
          </w:p>
        </w:tc>
        <w:tc>
          <w:tcPr>
            <w:tcW w:w="2081"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20分</w:t>
            </w:r>
          </w:p>
        </w:tc>
        <w:tc>
          <w:tcPr>
            <w:tcW w:w="2047"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9.15分</w:t>
            </w:r>
          </w:p>
        </w:tc>
      </w:tr>
      <w:tr>
        <w:tblPrEx>
          <w:tblLayout w:type="fixed"/>
          <w:tblCellMar>
            <w:top w:w="0" w:type="dxa"/>
            <w:left w:w="108" w:type="dxa"/>
            <w:bottom w:w="0" w:type="dxa"/>
            <w:right w:w="108" w:type="dxa"/>
          </w:tblCellMar>
        </w:tblPrEx>
        <w:trPr>
          <w:trHeight w:val="454" w:hRule="atLeast"/>
          <w:jc w:val="center"/>
        </w:trPr>
        <w:tc>
          <w:tcPr>
            <w:tcW w:w="2030"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项目产出</w:t>
            </w:r>
          </w:p>
        </w:tc>
        <w:tc>
          <w:tcPr>
            <w:tcW w:w="2081"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30分</w:t>
            </w:r>
          </w:p>
        </w:tc>
        <w:tc>
          <w:tcPr>
            <w:tcW w:w="2047"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25分</w:t>
            </w:r>
          </w:p>
        </w:tc>
      </w:tr>
      <w:tr>
        <w:tblPrEx>
          <w:tblLayout w:type="fixed"/>
          <w:tblCellMar>
            <w:top w:w="0" w:type="dxa"/>
            <w:left w:w="108" w:type="dxa"/>
            <w:bottom w:w="0" w:type="dxa"/>
            <w:right w:w="108" w:type="dxa"/>
          </w:tblCellMar>
        </w:tblPrEx>
        <w:trPr>
          <w:trHeight w:val="454" w:hRule="atLeast"/>
          <w:jc w:val="center"/>
        </w:trPr>
        <w:tc>
          <w:tcPr>
            <w:tcW w:w="2030"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项目效果</w:t>
            </w:r>
          </w:p>
        </w:tc>
        <w:tc>
          <w:tcPr>
            <w:tcW w:w="2081"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30分</w:t>
            </w:r>
          </w:p>
        </w:tc>
        <w:tc>
          <w:tcPr>
            <w:tcW w:w="2047"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30分</w:t>
            </w:r>
          </w:p>
        </w:tc>
      </w:tr>
      <w:tr>
        <w:tblPrEx>
          <w:tblLayout w:type="fixed"/>
          <w:tblCellMar>
            <w:top w:w="0" w:type="dxa"/>
            <w:left w:w="108" w:type="dxa"/>
            <w:bottom w:w="0" w:type="dxa"/>
            <w:right w:w="108" w:type="dxa"/>
          </w:tblCellMar>
        </w:tblPrEx>
        <w:trPr>
          <w:trHeight w:val="454" w:hRule="atLeast"/>
          <w:jc w:val="center"/>
        </w:trPr>
        <w:tc>
          <w:tcPr>
            <w:tcW w:w="2030"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综合绩效</w:t>
            </w:r>
          </w:p>
        </w:tc>
        <w:tc>
          <w:tcPr>
            <w:tcW w:w="2081"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100分</w:t>
            </w:r>
          </w:p>
        </w:tc>
        <w:tc>
          <w:tcPr>
            <w:tcW w:w="2047"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83.15分</w:t>
            </w:r>
          </w:p>
        </w:tc>
      </w:tr>
      <w:tr>
        <w:tblPrEx>
          <w:tblLayout w:type="fixed"/>
          <w:tblCellMar>
            <w:top w:w="0" w:type="dxa"/>
            <w:left w:w="108" w:type="dxa"/>
            <w:bottom w:w="0" w:type="dxa"/>
            <w:right w:w="108" w:type="dxa"/>
          </w:tblCellMar>
        </w:tblPrEx>
        <w:trPr>
          <w:trHeight w:val="454" w:hRule="atLeast"/>
          <w:jc w:val="center"/>
        </w:trPr>
        <w:tc>
          <w:tcPr>
            <w:tcW w:w="2030"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评价等级</w:t>
            </w:r>
          </w:p>
        </w:tc>
        <w:tc>
          <w:tcPr>
            <w:tcW w:w="2081"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w:t>
            </w:r>
          </w:p>
        </w:tc>
        <w:tc>
          <w:tcPr>
            <w:tcW w:w="2047"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0"/>
              <w:jc w:val="center"/>
              <w:rPr>
                <w:rFonts w:ascii="仿宋" w:hAnsi="仿宋" w:cs="仿宋"/>
                <w:sz w:val="24"/>
                <w:szCs w:val="24"/>
              </w:rPr>
            </w:pPr>
            <w:r>
              <w:rPr>
                <w:rFonts w:ascii="仿宋" w:hAnsi="仿宋" w:cs="仿宋"/>
                <w:sz w:val="24"/>
                <w:szCs w:val="24"/>
              </w:rPr>
              <w:t>良</w:t>
            </w:r>
          </w:p>
        </w:tc>
      </w:tr>
    </w:tbl>
    <w:p>
      <w:pPr>
        <w:pStyle w:val="4"/>
        <w:shd w:val="clear" w:fill="FFFFFF"/>
        <w:spacing w:before="0" w:after="0" w:line="560" w:lineRule="exact"/>
        <w:ind w:firstLine="610"/>
        <w:contextualSpacing/>
        <w:jc w:val="left"/>
        <w:rPr>
          <w:rFonts w:ascii="Times New Roman" w:hAnsi="Times New Roman" w:eastAsia="楷体" w:cs="Times New Roman"/>
        </w:rPr>
      </w:pPr>
      <w:bookmarkStart w:id="2" w:name="__RefHeading___Toc142235546"/>
      <w:bookmarkEnd w:id="2"/>
      <w:r>
        <w:rPr>
          <w:rFonts w:ascii="Times New Roman" w:hAnsi="Times New Roman" w:eastAsia="楷体" w:cs="Times New Roman"/>
        </w:rPr>
        <w:t>1.2绩效目标完成情况分析</w:t>
      </w:r>
    </w:p>
    <w:p>
      <w:pPr>
        <w:shd w:val="clear" w:fill="FFFFFF"/>
        <w:ind w:firstLine="610"/>
        <w:rPr>
          <w:rFonts w:ascii="仿宋" w:hAnsi="仿宋" w:cs="仿宋"/>
          <w:kern w:val="0"/>
        </w:rPr>
      </w:pPr>
      <w:r>
        <w:rPr>
          <w:rFonts w:ascii="仿宋" w:hAnsi="仿宋" w:cs="仿宋"/>
          <w:b/>
          <w:bCs/>
          <w:kern w:val="0"/>
        </w:rPr>
        <w:t>项目决策</w:t>
      </w:r>
      <w:r>
        <w:rPr>
          <w:rFonts w:ascii="仿宋" w:hAnsi="仿宋" w:cs="仿宋"/>
          <w:kern w:val="0"/>
        </w:rPr>
        <w:t>。决策权重20分，得分18分。扣分2分，主要原因是项目绩效指标的编制缺乏合理性。比如设置长期绩效指标和年度绩效指标不对应；年度绩效指标的三级明细指标列入了二级指标属性中，将三级指标写成了具体的指标值；满意度指标没有设置具体的三级指标，只有指标值等等。</w:t>
      </w:r>
    </w:p>
    <w:p>
      <w:pPr>
        <w:shd w:val="clear" w:fill="FFFFFF"/>
        <w:ind w:firstLine="610"/>
        <w:rPr>
          <w:rFonts w:ascii="仿宋" w:hAnsi="仿宋" w:cs="仿宋"/>
          <w:kern w:val="0"/>
        </w:rPr>
      </w:pPr>
      <w:r>
        <w:rPr>
          <w:rFonts w:ascii="仿宋" w:hAnsi="仿宋" w:cs="仿宋"/>
          <w:b/>
          <w:bCs/>
          <w:kern w:val="0"/>
        </w:rPr>
        <w:t>项目过程。</w:t>
      </w:r>
      <w:r>
        <w:rPr>
          <w:rFonts w:ascii="仿宋" w:hAnsi="仿宋" w:cs="仿宋"/>
          <w:kern w:val="0"/>
        </w:rPr>
        <w:t>过程权重20分，得分9.15分，扣分10.85分。主要扣分原因：一是债券资金使用率较低，债券资金年度实际使用率为0%；二是项目管理和资金使用不够规范，资金拨付和支出进度未按合同计划执行，与项目建设进度不相匹配。</w:t>
      </w:r>
    </w:p>
    <w:p>
      <w:pPr>
        <w:pStyle w:val="61"/>
        <w:ind w:firstLine="610"/>
        <w:rPr>
          <w:rFonts w:ascii="仿宋" w:hAnsi="仿宋" w:cs="仿宋"/>
        </w:rPr>
      </w:pPr>
      <w:r>
        <w:rPr>
          <w:rFonts w:ascii="仿宋" w:hAnsi="仿宋" w:cs="仿宋"/>
          <w:b/>
          <w:bCs/>
          <w:kern w:val="0"/>
        </w:rPr>
        <w:t>项目产出。</w:t>
      </w:r>
      <w:r>
        <w:rPr>
          <w:rFonts w:ascii="仿宋" w:hAnsi="仿宋" w:cs="仿宋"/>
          <w:kern w:val="0"/>
        </w:rPr>
        <w:t>产出权重30分，得分25分，扣分5分。主要扣分原因是项目工程未按照合同计划时间开工。标段二合同约定计划开工时间为2023年5月22日，截止评价日，项目第二标段还未正式开工，已晚于合同约定的开工时间2个月，会导致整体工期延后。</w:t>
      </w:r>
    </w:p>
    <w:p>
      <w:pPr>
        <w:shd w:val="clear" w:fill="FFFFFF"/>
        <w:ind w:firstLine="610"/>
        <w:jc w:val="left"/>
        <w:rPr>
          <w:rFonts w:ascii="仿宋" w:hAnsi="仿宋" w:cs="仿宋"/>
          <w:kern w:val="0"/>
        </w:rPr>
      </w:pPr>
      <w:r>
        <w:rPr>
          <w:rFonts w:ascii="仿宋" w:hAnsi="仿宋" w:cs="仿宋"/>
          <w:b/>
          <w:bCs/>
          <w:kern w:val="0"/>
        </w:rPr>
        <w:t>项目效益。</w:t>
      </w:r>
      <w:r>
        <w:rPr>
          <w:rFonts w:ascii="仿宋" w:hAnsi="仿宋" w:cs="仿宋"/>
          <w:kern w:val="0"/>
        </w:rPr>
        <w:t>效益权重30分，得分30分。项目处于建设期，本项目施工中未发生重大事故、未发生环保投诉和处罚事件，本项目建设完成后，可明显改善崇阳县应急管理短板，</w:t>
      </w:r>
      <w:r>
        <w:rPr>
          <w:rFonts w:ascii="仿宋" w:hAnsi="仿宋" w:cs="仿宋"/>
        </w:rPr>
        <w:t>对应急管理局促进防范化解重大风险隐患，提升自然灾害防治、生产安全事故预防和应急处置能力具有较好的</w:t>
      </w:r>
      <w:r>
        <w:rPr>
          <w:rFonts w:ascii="仿宋" w:hAnsi="仿宋" w:cs="仿宋"/>
          <w:kern w:val="0"/>
        </w:rPr>
        <w:t>可持续性影响。</w:t>
      </w:r>
    </w:p>
    <w:p>
      <w:pPr>
        <w:shd w:val="clear" w:fill="FFFFFF"/>
        <w:ind w:firstLine="607"/>
        <w:rPr>
          <w:rFonts w:ascii="仿宋" w:hAnsi="仿宋" w:cs="仿宋"/>
          <w:kern w:val="0"/>
        </w:rPr>
      </w:pPr>
    </w:p>
    <w:p>
      <w:pPr>
        <w:pStyle w:val="4"/>
        <w:shd w:val="clear" w:fill="FFFFFF"/>
        <w:spacing w:before="0" w:after="0" w:line="560" w:lineRule="exact"/>
        <w:ind w:firstLine="610"/>
        <w:contextualSpacing/>
        <w:jc w:val="left"/>
        <w:rPr>
          <w:rFonts w:ascii="Times New Roman" w:hAnsi="Times New Roman" w:eastAsia="楷体" w:cs="Times New Roman"/>
        </w:rPr>
      </w:pPr>
      <w:bookmarkStart w:id="3" w:name="__RefHeading___Toc142235547"/>
      <w:bookmarkEnd w:id="3"/>
      <w:r>
        <w:rPr>
          <w:rFonts w:ascii="Times New Roman" w:hAnsi="Times New Roman" w:eastAsia="楷体" w:cs="Times New Roman"/>
        </w:rPr>
        <w:t>1.3存在的问题和原因</w:t>
      </w:r>
    </w:p>
    <w:p>
      <w:pPr>
        <w:numPr>
          <w:ilvl w:val="0"/>
          <w:numId w:val="4"/>
        </w:numPr>
        <w:shd w:val="clear" w:fill="FFFFFF"/>
        <w:ind w:left="0" w:firstLine="610"/>
        <w:rPr>
          <w:rFonts w:ascii="仿宋" w:hAnsi="仿宋" w:cs="仿宋"/>
          <w:b/>
          <w:bCs/>
          <w:kern w:val="0"/>
        </w:rPr>
      </w:pPr>
      <w:r>
        <w:rPr>
          <w:rFonts w:ascii="仿宋" w:hAnsi="仿宋" w:cs="仿宋"/>
          <w:b/>
          <w:bCs/>
          <w:kern w:val="0"/>
        </w:rPr>
        <w:t>资金使用不够规范</w:t>
      </w:r>
    </w:p>
    <w:p>
      <w:pPr>
        <w:shd w:val="clear" w:fill="FFFFFF"/>
        <w:ind w:firstLine="607"/>
        <w:rPr>
          <w:rFonts w:ascii="仿宋" w:hAnsi="仿宋" w:cs="仿宋"/>
          <w:kern w:val="0"/>
        </w:rPr>
      </w:pPr>
      <w:r>
        <w:rPr>
          <w:rFonts w:ascii="仿宋" w:hAnsi="仿宋" w:cs="仿宋"/>
          <w:kern w:val="0"/>
        </w:rPr>
        <w:t>经核查项目支付明细和支付凭证，项目资金拨付和支出进度未按合同计划执行，与项目建设进度不相匹配。且一般债券资金的使用不合规。本项目标段一的支付未按合同约定付款，且支付金额超过合同中标金额146.34万元。</w:t>
      </w:r>
    </w:p>
    <w:p>
      <w:pPr>
        <w:numPr>
          <w:ilvl w:val="0"/>
          <w:numId w:val="4"/>
        </w:numPr>
        <w:shd w:val="clear" w:fill="FFFFFF"/>
        <w:ind w:left="0" w:firstLine="610"/>
        <w:rPr>
          <w:rFonts w:ascii="仿宋" w:hAnsi="仿宋" w:cs="仿宋"/>
          <w:b/>
          <w:bCs/>
        </w:rPr>
      </w:pPr>
      <w:r>
        <w:rPr>
          <w:rFonts w:ascii="仿宋" w:hAnsi="仿宋" w:cs="仿宋"/>
          <w:b/>
          <w:bCs/>
        </w:rPr>
        <w:t>债券资金使用效率较低</w:t>
      </w:r>
    </w:p>
    <w:p>
      <w:pPr>
        <w:shd w:val="clear" w:fill="FFFFFF"/>
        <w:ind w:firstLine="607"/>
        <w:rPr>
          <w:rFonts w:ascii="仿宋" w:hAnsi="仿宋" w:cs="仿宋"/>
          <w:kern w:val="0"/>
        </w:rPr>
      </w:pPr>
      <w:r>
        <w:rPr>
          <w:rFonts w:ascii="仿宋" w:hAnsi="仿宋" w:cs="仿宋"/>
          <w:kern w:val="0"/>
        </w:rPr>
        <w:t>本项目估算总投资7,824万元，2022年实际到位债券资金2,000万元，2022年债券资金实际支出0万元，债券资金年度实际使用率为0%。</w:t>
      </w:r>
    </w:p>
    <w:p>
      <w:pPr>
        <w:shd w:val="clear" w:fill="FFFFFF"/>
        <w:ind w:left="608" w:firstLine="0"/>
        <w:rPr>
          <w:rFonts w:ascii="仿宋" w:hAnsi="仿宋" w:cs="仿宋"/>
          <w:b/>
          <w:bCs/>
        </w:rPr>
      </w:pPr>
      <w:r>
        <w:rPr>
          <w:rFonts w:ascii="仿宋" w:hAnsi="仿宋" w:cs="仿宋"/>
          <w:b/>
          <w:bCs/>
        </w:rPr>
        <w:t>（3）项目管理不够规范</w:t>
      </w:r>
    </w:p>
    <w:p>
      <w:pPr>
        <w:shd w:val="clear" w:fill="FFFFFF"/>
        <w:ind w:firstLine="607"/>
        <w:rPr>
          <w:rFonts w:ascii="仿宋" w:hAnsi="仿宋" w:cs="仿宋"/>
          <w:kern w:val="0"/>
        </w:rPr>
      </w:pPr>
      <w:r>
        <w:rPr>
          <w:rFonts w:ascii="仿宋" w:hAnsi="仿宋" w:cs="仿宋"/>
          <w:kern w:val="0"/>
        </w:rPr>
        <w:t>本项目管理不规范，一方面是本项目在资金支付时未按合同约定付款，对财务管理等制度的执行缺乏有效性。二是截止评价日，项目单位不能提供本项目的《建设工程规划许可证》《建设工程施工许可证》等必要的证照材料。</w:t>
      </w:r>
    </w:p>
    <w:p>
      <w:pPr>
        <w:pStyle w:val="61"/>
        <w:ind w:left="608" w:firstLine="0"/>
        <w:rPr>
          <w:rFonts w:ascii="仿宋" w:hAnsi="仿宋" w:cs="仿宋"/>
          <w:b/>
          <w:bCs/>
          <w:kern w:val="0"/>
        </w:rPr>
      </w:pPr>
      <w:r>
        <w:rPr>
          <w:rFonts w:ascii="仿宋" w:hAnsi="仿宋" w:cs="仿宋"/>
          <w:b/>
          <w:bCs/>
          <w:kern w:val="0"/>
        </w:rPr>
        <w:t>（4）绩效目标编制的合理性有待改进</w:t>
      </w:r>
    </w:p>
    <w:p>
      <w:pPr>
        <w:shd w:val="clear" w:fill="FFFFFF"/>
        <w:ind w:firstLine="607"/>
        <w:rPr>
          <w:rFonts w:ascii="仿宋" w:hAnsi="仿宋" w:cs="仿宋"/>
          <w:kern w:val="0"/>
        </w:rPr>
      </w:pPr>
      <w:r>
        <w:rPr>
          <w:rFonts w:ascii="仿宋" w:hAnsi="仿宋" w:cs="仿宋"/>
          <w:kern w:val="0"/>
        </w:rPr>
        <w:t>本项目设置的绩效指标不够科学和合理。比如设置长期绩效指标和年度绩效指标不对应；年度绩效指标的三级明细指标列入了二级指标属性中，将三级指标写成了具体的指标值；满意度指标没有设置具体的三级指标，只有指标值等等。</w:t>
      </w:r>
    </w:p>
    <w:p>
      <w:pPr>
        <w:shd w:val="clear" w:fill="FFFFFF"/>
        <w:ind w:firstLine="607"/>
        <w:rPr>
          <w:rFonts w:ascii="仿宋" w:hAnsi="仿宋" w:cs="仿宋"/>
          <w:kern w:val="0"/>
        </w:rPr>
      </w:pPr>
    </w:p>
    <w:p>
      <w:pPr>
        <w:pStyle w:val="4"/>
        <w:shd w:val="clear" w:fill="FFFFFF"/>
        <w:spacing w:before="0" w:after="0" w:line="560" w:lineRule="exact"/>
        <w:ind w:firstLine="610"/>
        <w:contextualSpacing/>
        <w:jc w:val="left"/>
        <w:rPr>
          <w:rFonts w:ascii="Times New Roman" w:hAnsi="Times New Roman" w:eastAsia="楷体" w:cs="Times New Roman"/>
        </w:rPr>
      </w:pPr>
      <w:bookmarkStart w:id="4" w:name="__RefHeading___Toc142235548"/>
      <w:bookmarkEnd w:id="4"/>
      <w:r>
        <w:rPr>
          <w:rFonts w:ascii="Times New Roman" w:hAnsi="Times New Roman" w:eastAsia="楷体" w:cs="Times New Roman"/>
        </w:rPr>
        <w:t>1.4结果应用建议</w:t>
      </w:r>
    </w:p>
    <w:p>
      <w:pPr>
        <w:numPr>
          <w:ilvl w:val="0"/>
          <w:numId w:val="0"/>
        </w:numPr>
        <w:ind w:firstLine="610"/>
        <w:outlineLvl w:val="2"/>
        <w:rPr>
          <w:rFonts w:ascii="仿宋" w:hAnsi="仿宋" w:cs="仿宋"/>
          <w:b/>
          <w:bCs/>
        </w:rPr>
      </w:pPr>
      <w:r>
        <w:rPr>
          <w:rFonts w:ascii="仿宋" w:hAnsi="仿宋" w:cs="仿宋"/>
          <w:b/>
          <w:bCs/>
        </w:rPr>
        <w:t>（1）合理使用债券资金，提高债券资金使用效率</w:t>
      </w:r>
    </w:p>
    <w:p>
      <w:pPr>
        <w:shd w:val="clear" w:fill="FFFFFF"/>
        <w:ind w:firstLine="607"/>
        <w:rPr>
          <w:rFonts w:ascii="仿宋" w:hAnsi="仿宋" w:cs="仿宋"/>
        </w:rPr>
      </w:pPr>
      <w:r>
        <w:rPr>
          <w:rFonts w:ascii="仿宋" w:hAnsi="仿宋" w:cs="仿宋"/>
        </w:rPr>
        <w:t>一方面加强对政府债券资金使用管理的相关政策学习，针对本单位具体发债项目编制资金使用计划，严格按照相关管理规定使用债券资金。另一方面加强预算资金的执行监控，如中期预算执行确定不能完成，应及时申请调整预算资金，以免债券资金出现闲置和使用效率低下的现象。三是项目单位要逐一梳理当前存在的困难和问题，细化任务、明确责任，强化要素保障，加快项目实施进度，进一步提升债券资金使用效率，尽快形成实物资产，及早发挥债券资金在稳投资、补短板方面的积极作用。</w:t>
      </w:r>
    </w:p>
    <w:p>
      <w:pPr>
        <w:numPr>
          <w:ilvl w:val="0"/>
          <w:numId w:val="0"/>
        </w:numPr>
        <w:ind w:left="608" w:firstLine="0"/>
        <w:outlineLvl w:val="2"/>
        <w:rPr>
          <w:rFonts w:ascii="仿宋" w:hAnsi="仿宋" w:cs="仿宋"/>
          <w:b/>
          <w:bCs/>
        </w:rPr>
      </w:pPr>
      <w:r>
        <w:rPr>
          <w:rFonts w:ascii="仿宋" w:hAnsi="仿宋" w:cs="仿宋"/>
          <w:b/>
          <w:bCs/>
        </w:rPr>
        <w:t>（2）加强内控建设，规范办理各项施工许可</w:t>
      </w:r>
    </w:p>
    <w:p>
      <w:pPr>
        <w:numPr>
          <w:ilvl w:val="0"/>
          <w:numId w:val="0"/>
        </w:numPr>
        <w:ind w:firstLine="607"/>
        <w:outlineLvl w:val="2"/>
        <w:rPr>
          <w:rFonts w:ascii="仿宋" w:hAnsi="仿宋" w:cs="仿宋"/>
        </w:rPr>
      </w:pPr>
      <w:r>
        <w:rPr>
          <w:rFonts w:ascii="仿宋" w:hAnsi="仿宋" w:cs="仿宋"/>
        </w:rPr>
        <w:t>一是严格遵守政府采购和专项资金使用管理办法的相关规定，有效防范关键环节出现廉政风险。二是加强项目跟踪审计，对项目实施过程中的违规现象及时制止和纠正。三是在项目实施过程中，要及时办理各项建设工程的施工前期许可的证明材料并及时归档。</w:t>
      </w:r>
    </w:p>
    <w:p>
      <w:pPr>
        <w:numPr>
          <w:ilvl w:val="0"/>
          <w:numId w:val="0"/>
        </w:numPr>
        <w:ind w:firstLine="610"/>
        <w:outlineLvl w:val="2"/>
        <w:rPr>
          <w:rFonts w:ascii="仿宋" w:hAnsi="仿宋" w:cs="仿宋"/>
          <w:b/>
          <w:bCs/>
        </w:rPr>
      </w:pPr>
      <w:r>
        <w:rPr>
          <w:rFonts w:ascii="仿宋" w:hAnsi="仿宋" w:cs="仿宋"/>
          <w:b/>
          <w:bCs/>
        </w:rPr>
        <w:t>（3）科学编制项目绩效目标，合理细化绩效指标</w:t>
      </w:r>
    </w:p>
    <w:p>
      <w:pPr>
        <w:pStyle w:val="61"/>
        <w:ind w:firstLine="607"/>
        <w:rPr>
          <w:rFonts w:ascii="仿宋" w:hAnsi="仿宋" w:cs="仿宋"/>
        </w:rPr>
      </w:pPr>
      <w:r>
        <w:rPr>
          <w:rFonts w:ascii="仿宋" w:hAnsi="仿宋" w:cs="仿宋"/>
          <w:kern w:val="0"/>
          <w:szCs w:val="32"/>
        </w:rPr>
        <w:t>结合项目建设内容、工作任务实际，考虑相关性、重要性、经济性等原则，科学、全面地设置指向明确、细化量化、合理可行和相应匹配的绩效目标和指标。比如本项目为工程建设项目，项目绩效年度目标应为完成一定数量的建设工程任务；在细化绩效指标方面，应体现直接产出的数量指标“年度完成建设面积（平方米）”、质量指标“项目质量验收合格率”和时效指标“项目序时完工及时率”等指标。</w:t>
      </w:r>
    </w:p>
    <w:p>
      <w:pPr>
        <w:shd w:val="clear" w:fill="FFFFFF"/>
        <w:ind w:firstLine="607"/>
        <w:rPr>
          <w:rFonts w:ascii="仿宋" w:hAnsi="仿宋" w:eastAsia="楷体" w:cs="仿宋"/>
        </w:rPr>
      </w:pPr>
    </w:p>
    <w:p>
      <w:pPr>
        <w:shd w:val="clear" w:fill="FFFFFF"/>
        <w:ind w:firstLine="607"/>
        <w:rPr>
          <w:rFonts w:eastAsia="楷体"/>
        </w:rPr>
      </w:pPr>
    </w:p>
    <w:p>
      <w:pPr>
        <w:shd w:val="clear" w:fill="FFFFFF"/>
        <w:ind w:firstLine="607"/>
        <w:rPr>
          <w:rFonts w:eastAsia="楷体"/>
        </w:rPr>
      </w:pPr>
    </w:p>
    <w:p>
      <w:pPr>
        <w:shd w:val="clear" w:fill="FFFFFF"/>
        <w:ind w:firstLine="607"/>
        <w:rPr>
          <w:rFonts w:eastAsia="楷体"/>
        </w:rPr>
      </w:pPr>
    </w:p>
    <w:p>
      <w:pPr>
        <w:shd w:val="clear" w:fill="FFFFFF"/>
        <w:ind w:firstLine="607"/>
        <w:rPr>
          <w:rFonts w:eastAsia="楷体"/>
        </w:rPr>
      </w:pPr>
    </w:p>
    <w:p>
      <w:pPr>
        <w:pStyle w:val="2"/>
        <w:ind w:firstLine="327"/>
        <w:rPr>
          <w:rFonts w:eastAsia="楷体"/>
        </w:rPr>
      </w:pPr>
    </w:p>
    <w:p>
      <w:pPr>
        <w:pStyle w:val="2"/>
        <w:ind w:firstLine="327"/>
        <w:rPr>
          <w:rFonts w:eastAsia="楷体"/>
        </w:rPr>
      </w:pPr>
    </w:p>
    <w:p>
      <w:pPr>
        <w:pStyle w:val="2"/>
        <w:ind w:firstLine="327"/>
        <w:rPr>
          <w:rFonts w:eastAsia="楷体"/>
        </w:rPr>
      </w:pPr>
    </w:p>
    <w:p>
      <w:pPr>
        <w:pStyle w:val="2"/>
        <w:ind w:firstLine="327"/>
        <w:rPr>
          <w:rFonts w:eastAsia="楷体"/>
        </w:rPr>
      </w:pPr>
    </w:p>
    <w:p>
      <w:pPr>
        <w:shd w:val="clear" w:fill="FFFFFF"/>
        <w:ind w:firstLine="0"/>
        <w:rPr>
          <w:rFonts w:eastAsia="楷体"/>
        </w:rPr>
      </w:pPr>
    </w:p>
    <w:p>
      <w:pPr>
        <w:pStyle w:val="2"/>
        <w:ind w:firstLine="327"/>
        <w:rPr>
          <w:rFonts w:eastAsia="楷体"/>
        </w:rPr>
      </w:pPr>
    </w:p>
    <w:p>
      <w:pPr>
        <w:pStyle w:val="2"/>
        <w:ind w:firstLine="327"/>
        <w:rPr>
          <w:rFonts w:eastAsia="楷体"/>
        </w:rPr>
      </w:pPr>
    </w:p>
    <w:p>
      <w:pPr>
        <w:shd w:val="clear" w:fill="FFFFFF"/>
        <w:ind w:firstLine="607"/>
        <w:rPr>
          <w:rFonts w:eastAsia="楷体"/>
        </w:rPr>
      </w:pPr>
      <w:r>
        <w:rPr>
          <w:rFonts w:eastAsia="楷体"/>
        </w:rPr>
        <w:t>附件：绩效评价评分表</w:t>
      </w:r>
    </w:p>
    <w:p>
      <w:pPr>
        <w:keepNext/>
        <w:keepLines/>
        <w:numPr>
          <w:ilvl w:val="0"/>
          <w:numId w:val="0"/>
        </w:numPr>
        <w:shd w:val="clear" w:fill="FFFFFF"/>
        <w:spacing w:before="0" w:after="0"/>
        <w:ind w:firstLine="610"/>
        <w:contextualSpacing/>
        <w:jc w:val="center"/>
        <w:outlineLvl w:val="0"/>
        <w:rPr>
          <w:rFonts w:ascii="仿宋" w:hAnsi="仿宋" w:cs="仿宋"/>
          <w:b/>
          <w:bCs/>
        </w:rPr>
      </w:pPr>
      <w:bookmarkStart w:id="5" w:name="__RefHeading___Toc142235554"/>
      <w:bookmarkEnd w:id="5"/>
      <w:r>
        <w:rPr>
          <w:rFonts w:ascii="仿宋" w:hAnsi="仿宋" w:cs="仿宋"/>
          <w:b/>
          <w:bCs/>
        </w:rPr>
        <w:t>应急救援中心项目绩效评价评分表</w:t>
      </w:r>
    </w:p>
    <w:tbl>
      <w:tblPr>
        <w:tblStyle w:val="19"/>
        <w:tblW w:w="8523" w:type="dxa"/>
        <w:jc w:val="center"/>
        <w:tblInd w:w="0" w:type="dxa"/>
        <w:tblLayout w:type="fixed"/>
        <w:tblCellMar>
          <w:top w:w="0" w:type="dxa"/>
          <w:left w:w="108" w:type="dxa"/>
          <w:bottom w:w="0" w:type="dxa"/>
          <w:right w:w="108" w:type="dxa"/>
        </w:tblCellMar>
      </w:tblPr>
      <w:tblGrid>
        <w:gridCol w:w="780"/>
        <w:gridCol w:w="661"/>
        <w:gridCol w:w="1062"/>
        <w:gridCol w:w="690"/>
        <w:gridCol w:w="3831"/>
        <w:gridCol w:w="755"/>
        <w:gridCol w:w="744"/>
      </w:tblGrid>
      <w:tr>
        <w:tblPrEx>
          <w:tblLayout w:type="fixed"/>
          <w:tblCellMar>
            <w:top w:w="0" w:type="dxa"/>
            <w:left w:w="108" w:type="dxa"/>
            <w:bottom w:w="0" w:type="dxa"/>
            <w:right w:w="108" w:type="dxa"/>
          </w:tblCellMar>
        </w:tblPrEx>
        <w:trPr>
          <w:trHeight w:val="476" w:hRule="atLeast"/>
          <w:jc w:val="center"/>
        </w:trPr>
        <w:tc>
          <w:tcPr>
            <w:tcW w:w="144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b/>
                <w:bCs/>
                <w:sz w:val="20"/>
                <w:szCs w:val="20"/>
              </w:rPr>
            </w:pPr>
            <w:r>
              <w:rPr>
                <w:rFonts w:ascii="仿宋" w:hAnsi="仿宋" w:cs="仿宋"/>
                <w:b/>
                <w:bCs/>
                <w:kern w:val="0"/>
                <w:sz w:val="20"/>
                <w:szCs w:val="20"/>
                <w:lang w:bidi="ar"/>
              </w:rPr>
              <w:t>一级指标</w:t>
            </w:r>
          </w:p>
        </w:tc>
        <w:tc>
          <w:tcPr>
            <w:tcW w:w="175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b/>
                <w:bCs/>
                <w:sz w:val="20"/>
                <w:szCs w:val="20"/>
              </w:rPr>
            </w:pPr>
            <w:r>
              <w:rPr>
                <w:rFonts w:ascii="仿宋" w:hAnsi="仿宋" w:cs="仿宋"/>
                <w:b/>
                <w:bCs/>
                <w:kern w:val="0"/>
                <w:sz w:val="20"/>
                <w:szCs w:val="20"/>
                <w:lang w:bidi="ar"/>
              </w:rPr>
              <w:t>二级指标</w:t>
            </w:r>
          </w:p>
        </w:tc>
        <w:tc>
          <w:tcPr>
            <w:tcW w:w="45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b/>
                <w:bCs/>
                <w:sz w:val="20"/>
                <w:szCs w:val="20"/>
              </w:rPr>
            </w:pPr>
            <w:r>
              <w:rPr>
                <w:rFonts w:ascii="仿宋" w:hAnsi="仿宋" w:cs="仿宋"/>
                <w:b/>
                <w:bCs/>
                <w:kern w:val="0"/>
                <w:sz w:val="20"/>
                <w:szCs w:val="20"/>
                <w:lang w:bidi="ar"/>
              </w:rPr>
              <w:t>三级指标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b/>
                <w:bCs/>
                <w:sz w:val="20"/>
                <w:szCs w:val="20"/>
              </w:rPr>
            </w:pPr>
            <w:r>
              <w:rPr>
                <w:rFonts w:ascii="仿宋" w:hAnsi="仿宋" w:cs="仿宋"/>
                <w:b/>
                <w:bCs/>
                <w:kern w:val="0"/>
                <w:sz w:val="20"/>
                <w:szCs w:val="20"/>
                <w:lang w:bidi="ar"/>
              </w:rPr>
              <w:t>评分</w:t>
            </w:r>
          </w:p>
        </w:tc>
      </w:tr>
      <w:tr>
        <w:tblPrEx>
          <w:tblLayout w:type="fixed"/>
          <w:tblCellMar>
            <w:top w:w="0" w:type="dxa"/>
            <w:left w:w="108" w:type="dxa"/>
            <w:bottom w:w="0" w:type="dxa"/>
            <w:right w:w="108" w:type="dxa"/>
          </w:tblCellMar>
        </w:tblPrEx>
        <w:trPr>
          <w:trHeight w:val="476" w:hRule="atLeast"/>
          <w:jc w:val="center"/>
        </w:trPr>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b/>
                <w:bCs/>
                <w:sz w:val="20"/>
                <w:szCs w:val="20"/>
              </w:rPr>
            </w:pPr>
            <w:r>
              <w:rPr>
                <w:rFonts w:ascii="仿宋" w:hAnsi="仿宋" w:cs="仿宋"/>
                <w:b/>
                <w:bCs/>
                <w:kern w:val="0"/>
                <w:sz w:val="20"/>
                <w:szCs w:val="20"/>
                <w:lang w:bidi="ar"/>
              </w:rPr>
              <w:t>名称</w:t>
            </w:r>
          </w:p>
        </w:tc>
        <w:tc>
          <w:tcPr>
            <w:tcW w:w="661"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b/>
                <w:bCs/>
                <w:sz w:val="20"/>
                <w:szCs w:val="20"/>
              </w:rPr>
            </w:pPr>
            <w:r>
              <w:rPr>
                <w:rFonts w:ascii="仿宋" w:hAnsi="仿宋" w:cs="仿宋"/>
                <w:b/>
                <w:bCs/>
                <w:kern w:val="0"/>
                <w:sz w:val="20"/>
                <w:szCs w:val="20"/>
                <w:lang w:bidi="ar"/>
              </w:rPr>
              <w:t>分值</w:t>
            </w: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b/>
                <w:bCs/>
                <w:sz w:val="20"/>
                <w:szCs w:val="20"/>
              </w:rPr>
            </w:pPr>
            <w:r>
              <w:rPr>
                <w:rFonts w:ascii="仿宋" w:hAnsi="仿宋" w:cs="仿宋"/>
                <w:b/>
                <w:bCs/>
                <w:kern w:val="0"/>
                <w:sz w:val="20"/>
                <w:szCs w:val="20"/>
                <w:lang w:bidi="ar"/>
              </w:rPr>
              <w:t>名称</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b/>
                <w:bCs/>
                <w:sz w:val="20"/>
                <w:szCs w:val="20"/>
              </w:rPr>
            </w:pPr>
            <w:r>
              <w:rPr>
                <w:rFonts w:ascii="仿宋" w:hAnsi="仿宋" w:cs="仿宋"/>
                <w:b/>
                <w:bCs/>
                <w:kern w:val="0"/>
                <w:sz w:val="20"/>
                <w:szCs w:val="20"/>
                <w:lang w:bidi="ar"/>
              </w:rPr>
              <w:t>分值</w:t>
            </w: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b/>
                <w:bCs/>
                <w:sz w:val="20"/>
                <w:szCs w:val="20"/>
              </w:rPr>
            </w:pPr>
            <w:r>
              <w:rPr>
                <w:rFonts w:ascii="仿宋" w:hAnsi="仿宋" w:cs="仿宋"/>
                <w:b/>
                <w:bCs/>
                <w:kern w:val="0"/>
                <w:sz w:val="20"/>
                <w:szCs w:val="20"/>
                <w:lang w:bidi="ar"/>
              </w:rPr>
              <w:t>名称</w:t>
            </w:r>
          </w:p>
        </w:tc>
        <w:tc>
          <w:tcPr>
            <w:tcW w:w="755" w:type="dxa"/>
            <w:tcBorders>
              <w:top w:val="single" w:color="000000" w:sz="4" w:space="0"/>
              <w:left w:val="single" w:color="000000" w:sz="4" w:space="0"/>
              <w:bottom w:val="single" w:color="000000" w:sz="4" w:space="0"/>
            </w:tcBorders>
            <w:shd w:val="clear" w:color="auto" w:fill="FFFFFF"/>
            <w:vAlign w:val="center"/>
          </w:tcPr>
          <w:p>
            <w:pPr>
              <w:widowControl/>
              <w:spacing w:line="320" w:lineRule="exact"/>
              <w:ind w:firstLine="0"/>
              <w:jc w:val="center"/>
              <w:textAlignment w:val="center"/>
              <w:rPr>
                <w:rFonts w:ascii="仿宋" w:hAnsi="仿宋" w:cs="仿宋"/>
                <w:b/>
                <w:bCs/>
                <w:sz w:val="20"/>
                <w:szCs w:val="20"/>
              </w:rPr>
            </w:pPr>
            <w:r>
              <w:rPr>
                <w:rFonts w:ascii="仿宋" w:hAnsi="仿宋" w:cs="仿宋"/>
                <w:b/>
                <w:bCs/>
                <w:kern w:val="0"/>
                <w:sz w:val="20"/>
                <w:szCs w:val="20"/>
                <w:lang w:bidi="ar"/>
              </w:rPr>
              <w:t>分值</w:t>
            </w: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320" w:lineRule="exact"/>
              <w:ind w:firstLine="0"/>
              <w:jc w:val="center"/>
              <w:rPr>
                <w:rFonts w:ascii="仿宋" w:hAnsi="仿宋" w:cs="仿宋"/>
                <w:b/>
                <w:bCs/>
                <w:sz w:val="20"/>
                <w:szCs w:val="20"/>
              </w:rPr>
            </w:pPr>
          </w:p>
        </w:tc>
      </w:tr>
      <w:tr>
        <w:tblPrEx>
          <w:tblLayout w:type="fixed"/>
          <w:tblCellMar>
            <w:top w:w="0" w:type="dxa"/>
            <w:left w:w="108" w:type="dxa"/>
            <w:bottom w:w="0" w:type="dxa"/>
            <w:right w:w="108" w:type="dxa"/>
          </w:tblCellMar>
        </w:tblPrEx>
        <w:trPr>
          <w:trHeight w:val="476" w:hRule="atLeast"/>
          <w:jc w:val="center"/>
        </w:trPr>
        <w:tc>
          <w:tcPr>
            <w:tcW w:w="780" w:type="dxa"/>
            <w:vMerge w:val="restart"/>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决策　</w:t>
            </w:r>
          </w:p>
        </w:tc>
        <w:tc>
          <w:tcPr>
            <w:tcW w:w="661" w:type="dxa"/>
            <w:vMerge w:val="restart"/>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20</w:t>
            </w:r>
          </w:p>
        </w:tc>
        <w:tc>
          <w:tcPr>
            <w:tcW w:w="106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项目立项　</w:t>
            </w:r>
          </w:p>
        </w:tc>
        <w:tc>
          <w:tcPr>
            <w:tcW w:w="6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6</w:t>
            </w: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kern w:val="0"/>
                <w:sz w:val="21"/>
                <w:szCs w:val="21"/>
                <w:lang w:bidi="ar"/>
              </w:rPr>
              <w:t>立项依据充分性</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3</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3</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61"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9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kern w:val="0"/>
                <w:sz w:val="21"/>
                <w:szCs w:val="21"/>
                <w:lang w:bidi="ar"/>
              </w:rPr>
              <w:t>立项程序规范性</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3</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3</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61"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绩效目标　</w:t>
            </w:r>
          </w:p>
        </w:tc>
        <w:tc>
          <w:tcPr>
            <w:tcW w:w="6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8</w:t>
            </w: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kern w:val="0"/>
                <w:sz w:val="21"/>
                <w:szCs w:val="21"/>
                <w:lang w:bidi="ar"/>
              </w:rPr>
              <w:t>绩效目标合理性</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4</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sz w:val="21"/>
                <w:szCs w:val="21"/>
              </w:rPr>
              <w:t>4</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61"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9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kern w:val="0"/>
                <w:sz w:val="21"/>
                <w:szCs w:val="21"/>
                <w:lang w:bidi="ar"/>
              </w:rPr>
              <w:t>绩效指标明确性</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4</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2</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61"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资金投入</w:t>
            </w:r>
          </w:p>
        </w:tc>
        <w:tc>
          <w:tcPr>
            <w:tcW w:w="690" w:type="dxa"/>
            <w:vMerge w:val="restart"/>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kern w:val="0"/>
                <w:sz w:val="21"/>
                <w:szCs w:val="21"/>
                <w:lang w:bidi="ar"/>
              </w:rPr>
            </w:pPr>
            <w:r>
              <w:rPr>
                <w:rFonts w:ascii="仿宋" w:hAnsi="仿宋" w:cs="仿宋"/>
                <w:kern w:val="0"/>
                <w:sz w:val="21"/>
                <w:szCs w:val="21"/>
                <w:lang w:bidi="ar"/>
              </w:rPr>
              <w:t>6</w:t>
            </w: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kern w:val="0"/>
                <w:sz w:val="21"/>
                <w:szCs w:val="21"/>
                <w:lang w:bidi="ar"/>
              </w:rPr>
              <w:t>债券资金申请程序的规范性</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sz w:val="21"/>
                <w:szCs w:val="21"/>
              </w:rPr>
              <w:t>3</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sz w:val="21"/>
                <w:szCs w:val="21"/>
              </w:rPr>
              <w:t>3</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61"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textAlignment w:val="center"/>
              <w:rPr>
                <w:rFonts w:ascii="仿宋" w:hAnsi="仿宋" w:cs="仿宋"/>
                <w:kern w:val="0"/>
                <w:sz w:val="21"/>
                <w:szCs w:val="21"/>
                <w:lang w:bidi="ar"/>
              </w:rPr>
            </w:pPr>
          </w:p>
        </w:tc>
        <w:tc>
          <w:tcPr>
            <w:tcW w:w="69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textAlignment w:val="center"/>
              <w:rPr>
                <w:rFonts w:ascii="仿宋" w:hAnsi="仿宋" w:cs="仿宋"/>
                <w:kern w:val="0"/>
                <w:sz w:val="21"/>
                <w:szCs w:val="21"/>
                <w:lang w:bidi="ar"/>
              </w:rPr>
            </w:pP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kern w:val="0"/>
                <w:sz w:val="21"/>
                <w:szCs w:val="21"/>
                <w:lang w:bidi="ar"/>
              </w:rPr>
              <w:t>申债额度科学性</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kern w:val="0"/>
                <w:sz w:val="21"/>
                <w:szCs w:val="21"/>
                <w:lang w:bidi="ar"/>
              </w:rPr>
            </w:pPr>
            <w:r>
              <w:rPr>
                <w:rFonts w:ascii="仿宋" w:hAnsi="仿宋" w:cs="仿宋"/>
                <w:kern w:val="0"/>
                <w:sz w:val="21"/>
                <w:szCs w:val="21"/>
                <w:lang w:bidi="ar"/>
              </w:rPr>
              <w:t>3</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kern w:val="0"/>
                <w:sz w:val="21"/>
                <w:szCs w:val="21"/>
                <w:lang w:bidi="ar"/>
              </w:rPr>
            </w:pPr>
            <w:r>
              <w:rPr>
                <w:rFonts w:ascii="仿宋" w:hAnsi="仿宋" w:cs="仿宋"/>
                <w:kern w:val="0"/>
                <w:sz w:val="21"/>
                <w:szCs w:val="21"/>
                <w:lang w:bidi="ar"/>
              </w:rPr>
              <w:t>3</w:t>
            </w:r>
          </w:p>
        </w:tc>
      </w:tr>
      <w:tr>
        <w:tblPrEx>
          <w:tblLayout w:type="fixed"/>
          <w:tblCellMar>
            <w:top w:w="0" w:type="dxa"/>
            <w:left w:w="108" w:type="dxa"/>
            <w:bottom w:w="0" w:type="dxa"/>
            <w:right w:w="108" w:type="dxa"/>
          </w:tblCellMar>
        </w:tblPrEx>
        <w:trPr>
          <w:trHeight w:val="476" w:hRule="atLeast"/>
          <w:jc w:val="center"/>
        </w:trPr>
        <w:tc>
          <w:tcPr>
            <w:tcW w:w="780" w:type="dxa"/>
            <w:vMerge w:val="restart"/>
            <w:tcBorders>
              <w:top w:val="single" w:color="000000" w:sz="4" w:space="0"/>
              <w:left w:val="single" w:color="000000" w:sz="4" w:space="0"/>
              <w:right w:val="single" w:color="000000" w:sz="4" w:space="0"/>
            </w:tcBorders>
            <w:vAlign w:val="center"/>
          </w:tcPr>
          <w:p>
            <w:pPr>
              <w:widowControl/>
              <w:spacing w:line="320" w:lineRule="exact"/>
              <w:ind w:firstLine="0"/>
              <w:jc w:val="center"/>
              <w:rPr>
                <w:rFonts w:ascii="仿宋" w:hAnsi="仿宋" w:cs="仿宋"/>
                <w:sz w:val="21"/>
                <w:szCs w:val="21"/>
              </w:rPr>
            </w:pPr>
            <w:r>
              <w:rPr>
                <w:rFonts w:ascii="仿宋" w:hAnsi="仿宋" w:cs="仿宋"/>
                <w:sz w:val="21"/>
                <w:szCs w:val="21"/>
              </w:rPr>
              <w:t>过程</w:t>
            </w:r>
          </w:p>
        </w:tc>
        <w:tc>
          <w:tcPr>
            <w:tcW w:w="661" w:type="dxa"/>
            <w:vMerge w:val="restart"/>
            <w:tcBorders>
              <w:top w:val="single" w:color="000000" w:sz="4" w:space="0"/>
              <w:left w:val="single" w:color="000000" w:sz="4" w:space="0"/>
              <w:right w:val="single" w:color="000000" w:sz="4" w:space="0"/>
            </w:tcBorders>
            <w:vAlign w:val="center"/>
          </w:tcPr>
          <w:p>
            <w:pPr>
              <w:widowControl/>
              <w:spacing w:line="320" w:lineRule="exact"/>
              <w:ind w:firstLine="0"/>
              <w:jc w:val="center"/>
              <w:rPr>
                <w:rFonts w:ascii="仿宋" w:hAnsi="仿宋" w:cs="仿宋"/>
                <w:sz w:val="21"/>
                <w:szCs w:val="21"/>
              </w:rPr>
            </w:pPr>
            <w:r>
              <w:rPr>
                <w:rFonts w:ascii="仿宋" w:hAnsi="仿宋" w:cs="仿宋"/>
                <w:sz w:val="21"/>
                <w:szCs w:val="21"/>
              </w:rPr>
              <w:t>20</w:t>
            </w:r>
          </w:p>
        </w:tc>
        <w:tc>
          <w:tcPr>
            <w:tcW w:w="106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资金管理</w:t>
            </w:r>
          </w:p>
        </w:tc>
        <w:tc>
          <w:tcPr>
            <w:tcW w:w="6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13</w:t>
            </w: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sz w:val="21"/>
                <w:szCs w:val="21"/>
              </w:rPr>
              <w:t>项目预算资金执行率</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3</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kern w:val="0"/>
                <w:sz w:val="21"/>
                <w:szCs w:val="21"/>
                <w:lang w:bidi="ar"/>
              </w:rPr>
            </w:pPr>
            <w:r>
              <w:rPr>
                <w:rFonts w:ascii="仿宋" w:hAnsi="仿宋" w:cs="仿宋"/>
                <w:kern w:val="0"/>
                <w:sz w:val="21"/>
                <w:szCs w:val="21"/>
                <w:lang w:bidi="ar"/>
              </w:rPr>
              <w:t>2.65</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kern w:val="0"/>
                <w:sz w:val="21"/>
                <w:szCs w:val="21"/>
                <w:lang w:bidi="ar"/>
              </w:rPr>
            </w:pPr>
          </w:p>
        </w:tc>
        <w:tc>
          <w:tcPr>
            <w:tcW w:w="661"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9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kern w:val="0"/>
                <w:sz w:val="21"/>
                <w:szCs w:val="21"/>
                <w:lang w:bidi="ar"/>
              </w:rPr>
              <w:t>债券资金使用率</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3</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kern w:val="0"/>
                <w:sz w:val="21"/>
                <w:szCs w:val="21"/>
                <w:lang w:bidi="ar"/>
              </w:rPr>
            </w:pPr>
            <w:r>
              <w:rPr>
                <w:rFonts w:ascii="仿宋" w:hAnsi="仿宋" w:cs="仿宋"/>
                <w:kern w:val="0"/>
                <w:sz w:val="21"/>
                <w:szCs w:val="21"/>
                <w:lang w:bidi="ar"/>
              </w:rPr>
              <w:t>0</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kern w:val="0"/>
                <w:sz w:val="21"/>
                <w:szCs w:val="21"/>
                <w:lang w:bidi="ar"/>
              </w:rPr>
            </w:pPr>
          </w:p>
        </w:tc>
        <w:tc>
          <w:tcPr>
            <w:tcW w:w="661"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9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kern w:val="0"/>
                <w:sz w:val="21"/>
                <w:szCs w:val="21"/>
                <w:lang w:bidi="ar"/>
              </w:rPr>
              <w:t>资金拨付和支出进度与项目建设进度匹配性</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3</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kern w:val="0"/>
                <w:sz w:val="21"/>
                <w:szCs w:val="21"/>
                <w:lang w:bidi="ar"/>
              </w:rPr>
            </w:pPr>
            <w:r>
              <w:rPr>
                <w:rFonts w:ascii="仿宋" w:hAnsi="仿宋" w:cs="仿宋"/>
                <w:kern w:val="0"/>
                <w:sz w:val="21"/>
                <w:szCs w:val="21"/>
                <w:lang w:bidi="ar"/>
              </w:rPr>
              <w:t>1.5</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kern w:val="0"/>
                <w:sz w:val="21"/>
                <w:szCs w:val="21"/>
                <w:lang w:bidi="ar"/>
              </w:rPr>
            </w:pPr>
          </w:p>
        </w:tc>
        <w:tc>
          <w:tcPr>
            <w:tcW w:w="661"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9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kern w:val="0"/>
                <w:sz w:val="21"/>
                <w:szCs w:val="21"/>
                <w:lang w:bidi="ar"/>
              </w:rPr>
              <w:t>资金使用合规性</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4</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kern w:val="0"/>
                <w:sz w:val="21"/>
                <w:szCs w:val="21"/>
                <w:lang w:bidi="ar"/>
              </w:rPr>
            </w:pPr>
            <w:r>
              <w:rPr>
                <w:rFonts w:ascii="仿宋" w:hAnsi="仿宋" w:cs="仿宋"/>
                <w:kern w:val="0"/>
                <w:sz w:val="21"/>
                <w:szCs w:val="21"/>
                <w:lang w:bidi="ar"/>
              </w:rPr>
              <w:t>2</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kern w:val="0"/>
                <w:sz w:val="21"/>
                <w:szCs w:val="21"/>
                <w:lang w:bidi="ar"/>
              </w:rPr>
            </w:pPr>
          </w:p>
        </w:tc>
        <w:tc>
          <w:tcPr>
            <w:tcW w:w="661"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项目组织管理</w:t>
            </w:r>
          </w:p>
        </w:tc>
        <w:tc>
          <w:tcPr>
            <w:tcW w:w="6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7</w:t>
            </w: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kern w:val="0"/>
                <w:sz w:val="21"/>
                <w:szCs w:val="21"/>
                <w:lang w:bidi="ar"/>
              </w:rPr>
              <w:t>管理制度健全性</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3</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kern w:val="0"/>
                <w:sz w:val="21"/>
                <w:szCs w:val="21"/>
                <w:lang w:bidi="ar"/>
              </w:rPr>
            </w:pPr>
            <w:r>
              <w:rPr>
                <w:rFonts w:ascii="仿宋" w:hAnsi="仿宋" w:cs="仿宋"/>
                <w:kern w:val="0"/>
                <w:sz w:val="21"/>
                <w:szCs w:val="21"/>
                <w:lang w:bidi="ar"/>
              </w:rPr>
              <w:t>3</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kern w:val="0"/>
                <w:sz w:val="21"/>
                <w:szCs w:val="21"/>
                <w:lang w:bidi="ar"/>
              </w:rPr>
            </w:pPr>
          </w:p>
        </w:tc>
        <w:tc>
          <w:tcPr>
            <w:tcW w:w="661"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9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kern w:val="0"/>
                <w:sz w:val="21"/>
                <w:szCs w:val="21"/>
                <w:lang w:bidi="ar"/>
              </w:rPr>
              <w:t>项目管理规范性</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4</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kern w:val="0"/>
                <w:sz w:val="21"/>
                <w:szCs w:val="21"/>
                <w:lang w:bidi="ar"/>
              </w:rPr>
            </w:pPr>
            <w:r>
              <w:rPr>
                <w:rFonts w:ascii="仿宋" w:hAnsi="仿宋" w:cs="仿宋"/>
                <w:kern w:val="0"/>
                <w:sz w:val="21"/>
                <w:szCs w:val="21"/>
                <w:lang w:bidi="ar"/>
              </w:rPr>
              <w:t>1</w:t>
            </w:r>
          </w:p>
        </w:tc>
      </w:tr>
      <w:tr>
        <w:tblPrEx>
          <w:tblLayout w:type="fixed"/>
          <w:tblCellMar>
            <w:top w:w="0" w:type="dxa"/>
            <w:left w:w="108" w:type="dxa"/>
            <w:bottom w:w="0" w:type="dxa"/>
            <w:right w:w="108" w:type="dxa"/>
          </w:tblCellMar>
        </w:tblPrEx>
        <w:trPr>
          <w:trHeight w:val="476" w:hRule="atLeast"/>
          <w:jc w:val="center"/>
        </w:trPr>
        <w:tc>
          <w:tcPr>
            <w:tcW w:w="78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产出</w:t>
            </w:r>
          </w:p>
        </w:tc>
        <w:tc>
          <w:tcPr>
            <w:tcW w:w="66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30</w:t>
            </w:r>
          </w:p>
        </w:tc>
        <w:tc>
          <w:tcPr>
            <w:tcW w:w="106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产出数量</w:t>
            </w:r>
          </w:p>
        </w:tc>
        <w:tc>
          <w:tcPr>
            <w:tcW w:w="690" w:type="dxa"/>
            <w:vMerge w:val="restart"/>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20</w:t>
            </w: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sz w:val="21"/>
                <w:szCs w:val="21"/>
              </w:rPr>
              <w:t>项目建设按期开工率</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10</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6</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61"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9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kern w:val="0"/>
                <w:sz w:val="21"/>
                <w:szCs w:val="21"/>
                <w:lang w:bidi="ar"/>
              </w:rPr>
              <w:t>土地平整率</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10</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10</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61"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产出质量</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5</w:t>
            </w: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kern w:val="0"/>
                <w:sz w:val="21"/>
                <w:szCs w:val="21"/>
                <w:lang w:bidi="ar"/>
              </w:rPr>
              <w:t>分项工程验收合格率</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5</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5</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61"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产出时效</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5</w:t>
            </w: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kern w:val="0"/>
                <w:sz w:val="21"/>
                <w:szCs w:val="21"/>
                <w:lang w:bidi="ar"/>
              </w:rPr>
              <w:t>建设进度及时性</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5</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4</w:t>
            </w:r>
          </w:p>
        </w:tc>
      </w:tr>
      <w:tr>
        <w:tblPrEx>
          <w:tblLayout w:type="fixed"/>
          <w:tblCellMar>
            <w:top w:w="0" w:type="dxa"/>
            <w:left w:w="108" w:type="dxa"/>
            <w:bottom w:w="0" w:type="dxa"/>
            <w:right w:w="108" w:type="dxa"/>
          </w:tblCellMar>
        </w:tblPrEx>
        <w:trPr>
          <w:trHeight w:val="476" w:hRule="atLeast"/>
          <w:jc w:val="center"/>
        </w:trPr>
        <w:tc>
          <w:tcPr>
            <w:tcW w:w="780" w:type="dxa"/>
            <w:vMerge w:val="restart"/>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效果</w:t>
            </w:r>
          </w:p>
        </w:tc>
        <w:tc>
          <w:tcPr>
            <w:tcW w:w="661" w:type="dxa"/>
            <w:vMerge w:val="restart"/>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30</w:t>
            </w:r>
          </w:p>
        </w:tc>
        <w:tc>
          <w:tcPr>
            <w:tcW w:w="1062" w:type="dxa"/>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社会效益</w:t>
            </w:r>
          </w:p>
        </w:tc>
        <w:tc>
          <w:tcPr>
            <w:tcW w:w="690" w:type="dxa"/>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10</w:t>
            </w: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kern w:val="0"/>
                <w:sz w:val="21"/>
                <w:szCs w:val="21"/>
                <w:lang w:bidi="ar"/>
              </w:rPr>
              <w:t>施工安全保障</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10</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10</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61"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生态效益</w:t>
            </w:r>
          </w:p>
        </w:tc>
        <w:tc>
          <w:tcPr>
            <w:tcW w:w="690" w:type="dxa"/>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10</w:t>
            </w: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kern w:val="0"/>
                <w:sz w:val="21"/>
                <w:szCs w:val="21"/>
                <w:lang w:bidi="ar"/>
              </w:rPr>
              <w:t>生态环境保护</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10</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10</w:t>
            </w:r>
          </w:p>
        </w:tc>
      </w:tr>
      <w:tr>
        <w:tblPrEx>
          <w:tblLayout w:type="fixed"/>
          <w:tblCellMar>
            <w:top w:w="0" w:type="dxa"/>
            <w:left w:w="108" w:type="dxa"/>
            <w:bottom w:w="0" w:type="dxa"/>
            <w:right w:w="108" w:type="dxa"/>
          </w:tblCellMar>
        </w:tblPrEx>
        <w:trPr>
          <w:trHeight w:val="476" w:hRule="atLeast"/>
          <w:jc w:val="center"/>
        </w:trPr>
        <w:tc>
          <w:tcPr>
            <w:tcW w:w="780"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661"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ascii="仿宋" w:hAnsi="仿宋" w:cs="仿宋"/>
                <w:sz w:val="21"/>
                <w:szCs w:val="21"/>
              </w:rPr>
            </w:pPr>
          </w:p>
        </w:tc>
        <w:tc>
          <w:tcPr>
            <w:tcW w:w="1062" w:type="dxa"/>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可持续性</w:t>
            </w:r>
          </w:p>
        </w:tc>
        <w:tc>
          <w:tcPr>
            <w:tcW w:w="690" w:type="dxa"/>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10</w:t>
            </w:r>
          </w:p>
        </w:tc>
        <w:tc>
          <w:tcPr>
            <w:tcW w:w="3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sz w:val="21"/>
                <w:szCs w:val="21"/>
              </w:rPr>
            </w:pPr>
            <w:r>
              <w:rPr>
                <w:rFonts w:ascii="仿宋" w:hAnsi="仿宋" w:cs="仿宋"/>
                <w:kern w:val="0"/>
                <w:sz w:val="21"/>
                <w:szCs w:val="21"/>
                <w:lang w:bidi="ar"/>
              </w:rPr>
              <w:t>项目可持续性影响</w:t>
            </w:r>
          </w:p>
        </w:tc>
        <w:tc>
          <w:tcPr>
            <w:tcW w:w="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10</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10</w:t>
            </w:r>
          </w:p>
        </w:tc>
      </w:tr>
      <w:tr>
        <w:tblPrEx>
          <w:tblLayout w:type="fixed"/>
          <w:tblCellMar>
            <w:top w:w="0" w:type="dxa"/>
            <w:left w:w="108" w:type="dxa"/>
            <w:bottom w:w="0" w:type="dxa"/>
            <w:right w:w="108" w:type="dxa"/>
          </w:tblCellMar>
        </w:tblPrEx>
        <w:trPr>
          <w:trHeight w:val="476" w:hRule="atLeast"/>
          <w:jc w:val="center"/>
        </w:trPr>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0"/>
                <w:szCs w:val="20"/>
              </w:rPr>
            </w:pPr>
            <w:r>
              <w:rPr>
                <w:rFonts w:ascii="仿宋" w:hAnsi="仿宋" w:cs="仿宋"/>
                <w:kern w:val="0"/>
                <w:sz w:val="20"/>
                <w:szCs w:val="20"/>
                <w:lang w:bidi="ar"/>
              </w:rPr>
              <w:t>总分</w:t>
            </w:r>
          </w:p>
        </w:tc>
        <w:tc>
          <w:tcPr>
            <w:tcW w:w="661"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0"/>
                <w:szCs w:val="20"/>
              </w:rPr>
            </w:pPr>
            <w:r>
              <w:rPr>
                <w:rFonts w:ascii="仿宋" w:hAnsi="仿宋" w:cs="仿宋"/>
                <w:kern w:val="0"/>
                <w:sz w:val="20"/>
                <w:szCs w:val="20"/>
                <w:lang w:bidi="ar"/>
              </w:rPr>
              <w:t>100</w:t>
            </w: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rPr>
                <w:rFonts w:ascii="仿宋" w:hAnsi="仿宋" w:cs="仿宋"/>
                <w:sz w:val="20"/>
                <w:szCs w:val="20"/>
              </w:rPr>
            </w:pP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0"/>
                <w:szCs w:val="20"/>
              </w:rPr>
            </w:pPr>
            <w:r>
              <w:rPr>
                <w:rFonts w:ascii="仿宋" w:hAnsi="仿宋" w:cs="仿宋"/>
                <w:kern w:val="0"/>
                <w:sz w:val="20"/>
                <w:szCs w:val="20"/>
                <w:lang w:bidi="ar"/>
              </w:rPr>
              <w:t>100</w:t>
            </w:r>
          </w:p>
        </w:tc>
        <w:tc>
          <w:tcPr>
            <w:tcW w:w="383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left"/>
              <w:rPr>
                <w:rFonts w:ascii="仿宋" w:hAnsi="仿宋" w:cs="仿宋"/>
                <w:sz w:val="20"/>
                <w:szCs w:val="20"/>
              </w:rPr>
            </w:pPr>
          </w:p>
        </w:tc>
        <w:tc>
          <w:tcPr>
            <w:tcW w:w="75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0"/>
                <w:szCs w:val="20"/>
              </w:rPr>
            </w:pPr>
            <w:r>
              <w:rPr>
                <w:rFonts w:ascii="仿宋" w:hAnsi="仿宋" w:cs="仿宋"/>
                <w:kern w:val="0"/>
                <w:sz w:val="20"/>
                <w:szCs w:val="20"/>
                <w:lang w:bidi="ar"/>
              </w:rPr>
              <w:t>100</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sz w:val="20"/>
                <w:szCs w:val="20"/>
              </w:rPr>
            </w:pPr>
            <w:r>
              <w:rPr>
                <w:rFonts w:ascii="仿宋" w:hAnsi="仿宋" w:cs="仿宋"/>
                <w:sz w:val="20"/>
                <w:szCs w:val="20"/>
              </w:rPr>
              <w:t>83.15</w:t>
            </w:r>
          </w:p>
        </w:tc>
      </w:tr>
    </w:tbl>
    <w:p>
      <w:pPr>
        <w:sectPr>
          <w:headerReference r:id="rId6" w:type="default"/>
          <w:footerReference r:id="rId7" w:type="default"/>
          <w:pgSz w:w="11906" w:h="16838"/>
          <w:pgMar w:top="2098" w:right="1474" w:bottom="1984" w:left="1587" w:header="851" w:footer="1304" w:gutter="0"/>
          <w:pgNumType w:fmt="decimal" w:start="1"/>
          <w:formProt w:val="0"/>
          <w:docGrid w:type="linesAndChars" w:linePitch="610" w:charSpace="-3482"/>
        </w:sectPr>
      </w:pPr>
    </w:p>
    <w:p>
      <w:pPr>
        <w:pStyle w:val="50"/>
        <w:numPr>
          <w:ilvl w:val="0"/>
          <w:numId w:val="0"/>
        </w:numPr>
        <w:shd w:val="clear" w:fill="FFFFFF"/>
        <w:spacing w:line="560" w:lineRule="exact"/>
        <w:ind w:left="608" w:firstLine="0"/>
        <w:jc w:val="both"/>
        <w:outlineLvl w:val="0"/>
        <w:rPr>
          <w:rFonts w:ascii="Times New Roman" w:hAnsi="Times New Roman" w:eastAsia="黑体" w:cs="Times New Roman"/>
          <w:b/>
          <w:sz w:val="32"/>
        </w:rPr>
      </w:pPr>
      <w:bookmarkStart w:id="6" w:name="__RefHeading___Toc142235555"/>
      <w:bookmarkEnd w:id="6"/>
      <w:r>
        <w:rPr>
          <w:rFonts w:ascii="Times New Roman" w:hAnsi="Times New Roman" w:eastAsia="黑体" w:cs="Times New Roman"/>
          <w:b/>
          <w:sz w:val="32"/>
        </w:rPr>
        <w:t>2佐证材料</w:t>
      </w:r>
    </w:p>
    <w:p>
      <w:pPr>
        <w:pStyle w:val="4"/>
        <w:shd w:val="clear" w:fill="FFFFFF"/>
        <w:spacing w:before="0" w:after="0" w:line="560" w:lineRule="exact"/>
        <w:ind w:firstLine="610"/>
        <w:contextualSpacing/>
        <w:jc w:val="left"/>
        <w:rPr>
          <w:rFonts w:ascii="Times New Roman" w:hAnsi="Times New Roman" w:eastAsia="楷体" w:cs="Times New Roman"/>
        </w:rPr>
      </w:pPr>
      <w:bookmarkStart w:id="7" w:name="__RefHeading___Toc142235556"/>
      <w:bookmarkEnd w:id="7"/>
      <w:r>
        <w:rPr>
          <w:rFonts w:ascii="Times New Roman" w:hAnsi="Times New Roman" w:eastAsia="楷体" w:cs="Times New Roman"/>
        </w:rPr>
        <w:t>2.1项目基本情况</w:t>
      </w:r>
    </w:p>
    <w:p>
      <w:pPr>
        <w:pStyle w:val="5"/>
        <w:shd w:val="clear" w:fill="FFFFFF"/>
        <w:spacing w:before="0" w:after="0" w:line="560" w:lineRule="exact"/>
        <w:ind w:firstLine="610"/>
        <w:rPr>
          <w:rFonts w:eastAsia="楷体"/>
          <w:kern w:val="0"/>
        </w:rPr>
      </w:pPr>
      <w:bookmarkStart w:id="8" w:name="__RefHeading___Toc142235557"/>
      <w:bookmarkEnd w:id="8"/>
      <w:r>
        <w:rPr>
          <w:rFonts w:eastAsia="楷体"/>
          <w:kern w:val="0"/>
        </w:rPr>
        <w:t>2.1.1项目立项目的、背景和依据</w:t>
      </w:r>
    </w:p>
    <w:p>
      <w:pPr>
        <w:pStyle w:val="61"/>
        <w:ind w:firstLine="607"/>
      </w:pPr>
      <w:r>
        <w:rPr>
          <w:rFonts w:ascii="仿宋" w:hAnsi="仿宋" w:cs="仿宋"/>
        </w:rPr>
        <w:t>“</w:t>
      </w:r>
      <w:r>
        <w:t>十三五”期间，崇阳县安全生产、防灾减灾、应急救援能力明显提升，为经济社会发展营造了安全稳定的发展环境。但总体来看，尚存在一些比较突出的薄弱环节，主要表现在应急管理能力有待提高。崇阳县自然灾害风险管理、工程防御、信息化建设、物资储备、应急装备等综合防灾减灾能力建设存在不足；应急物资储备体系尚不完善，储备物资种类、数量偏少，应急救援队伍缺乏必要的救援和搜救类装备，各县直相关部门、乡镇应急物资储备参差不齐；应急指挥信息化水平不高，迫切需要运用云计算、大数据、物联网、人工智能等新技术，推进先进信息技术与崇阳县应急指挥业务深度融合，为防范化解重大风险隐患，提升自然灾害防治、生产安全事故预防和应急处置能力提供有力支撑。</w:t>
      </w:r>
    </w:p>
    <w:p>
      <w:pPr>
        <w:pStyle w:val="61"/>
        <w:ind w:firstLine="607"/>
      </w:pPr>
      <w:r>
        <w:t>崇阳县应急管理局</w:t>
      </w:r>
      <w:r>
        <w:rPr>
          <w:rFonts w:ascii="仿宋" w:hAnsi="仿宋" w:cs="仿宋"/>
          <w:kern w:val="0"/>
          <w:szCs w:val="32"/>
        </w:rPr>
        <w:t>根据《应急管理部关于加快编制地方应急管理信息化发展规划的通知》（应急函〔2018〕272号）、《</w:t>
      </w:r>
      <w:r>
        <w:rPr>
          <w:rFonts w:hint="eastAsia" w:ascii="仿宋" w:hAnsi="仿宋" w:cs="仿宋"/>
          <w:kern w:val="0"/>
          <w:szCs w:val="32"/>
          <w:lang w:val="en-US" w:eastAsia="zh-CN"/>
        </w:rPr>
        <w:t>湖北</w:t>
      </w:r>
      <w:r>
        <w:rPr>
          <w:rFonts w:ascii="仿宋" w:hAnsi="仿宋" w:cs="仿宋"/>
          <w:kern w:val="0"/>
          <w:szCs w:val="32"/>
        </w:rPr>
        <w:t>省</w:t>
      </w:r>
      <w:r>
        <w:rPr>
          <w:rFonts w:hint="eastAsia" w:ascii="仿宋" w:hAnsi="仿宋" w:cs="仿宋"/>
          <w:kern w:val="0"/>
          <w:szCs w:val="32"/>
          <w:lang w:val="en-US" w:eastAsia="zh-CN"/>
        </w:rPr>
        <w:t>发展和改革委员会</w:t>
      </w:r>
      <w:r>
        <w:rPr>
          <w:rFonts w:ascii="仿宋" w:hAnsi="仿宋" w:cs="仿宋"/>
          <w:kern w:val="0"/>
          <w:szCs w:val="32"/>
        </w:rPr>
        <w:t>关于下达崇阳县应急救援中心等项目2021年省内固定资产投资计划的通知》（鄂发改投资函〔2021〕95号）和《崇阳县疫后重振补短板强功能“十大工程”三年行动方案(2020—2022年)》等文件精神，申请崇阳县应急救援中心建设项目以</w:t>
      </w:r>
      <w:r>
        <w:t>防范化解重大风险、应对处置各类灾害事故，构建新时代应急体系、加快推进应急处置能力和队伍建设为目标，根据崇阳应急管理现状，抓住机遇补短板、强功能，加强应急救援体系建设。</w:t>
      </w:r>
    </w:p>
    <w:p>
      <w:pPr>
        <w:pStyle w:val="5"/>
        <w:shd w:val="clear" w:fill="FFFFFF"/>
        <w:spacing w:before="0" w:after="0" w:line="560" w:lineRule="exact"/>
        <w:ind w:firstLine="610"/>
        <w:rPr>
          <w:rFonts w:eastAsia="楷体"/>
          <w:kern w:val="0"/>
        </w:rPr>
      </w:pPr>
      <w:bookmarkStart w:id="9" w:name="__RefHeading___Toc142235558"/>
      <w:bookmarkEnd w:id="9"/>
      <w:r>
        <w:rPr>
          <w:rFonts w:eastAsia="楷体"/>
          <w:kern w:val="0"/>
        </w:rPr>
        <w:t>2.1.2项目主要内容及相关主体</w:t>
      </w:r>
    </w:p>
    <w:p>
      <w:pPr>
        <w:ind w:firstLine="607"/>
      </w:pPr>
      <w:r>
        <w:rPr>
          <w:rFonts w:ascii="仿宋" w:hAnsi="仿宋" w:cs="仿宋"/>
          <w:kern w:val="0"/>
        </w:rPr>
        <w:t>根据《关于崇阳县应急救援中心项目建议书的批复》（崇发改字〔2022〕290号）显示</w:t>
      </w:r>
      <w:r>
        <w:t>，本</w:t>
      </w:r>
      <w:r>
        <w:rPr>
          <w:rFonts w:ascii="仿宋" w:hAnsi="仿宋" w:cs="仿宋"/>
          <w:kern w:val="0"/>
        </w:rPr>
        <w:t>项目估算总投资7,824万元，新建应急救援中心面积7,214.57平方米、配套用房536.84平方米，新建直升机停机坪4,500平方米，购置应急救援装备及建设其他水、电等辅助设施。</w:t>
      </w:r>
    </w:p>
    <w:p>
      <w:pPr>
        <w:pStyle w:val="8"/>
        <w:ind w:firstLine="607"/>
      </w:pPr>
      <w:r>
        <w:t>本项目主管部门为崇阳县人民政府，实施单位崇阳县应急管理局。</w:t>
      </w:r>
    </w:p>
    <w:p>
      <w:pPr>
        <w:pStyle w:val="5"/>
        <w:shd w:val="clear" w:fill="FFFFFF"/>
        <w:spacing w:before="0" w:after="0" w:line="560" w:lineRule="exact"/>
        <w:ind w:firstLine="610"/>
        <w:rPr>
          <w:rFonts w:eastAsia="楷体"/>
          <w:kern w:val="0"/>
        </w:rPr>
      </w:pPr>
      <w:bookmarkStart w:id="10" w:name="__RefHeading___Toc142235559"/>
      <w:bookmarkEnd w:id="10"/>
      <w:r>
        <w:rPr>
          <w:rFonts w:eastAsia="楷体"/>
          <w:kern w:val="0"/>
        </w:rPr>
        <w:t>2.1.3项目绩效目标</w:t>
      </w:r>
    </w:p>
    <w:p>
      <w:pPr>
        <w:ind w:firstLine="607"/>
      </w:pPr>
      <w:r>
        <w:t>在年度申报</w:t>
      </w:r>
      <w:r>
        <w:rPr>
          <w:kern w:val="0"/>
        </w:rPr>
        <w:t>崇阳县应急救援中心建设项目</w:t>
      </w:r>
      <w:r>
        <w:t>预算时填报了长期和年度绩效目标表，设置了长期绩效指标和年度绩效指标。但设置的绩效指标基本与本项目建设工程内容没有相关性。</w:t>
      </w:r>
    </w:p>
    <w:p>
      <w:pPr>
        <w:shd w:val="clear" w:fill="FFFFFF"/>
        <w:ind w:firstLine="607"/>
      </w:pPr>
      <w:r>
        <w:t>绩效评价工作组依据本项目实施方案、工程建设合同等资料，结合项目立项目的，完善项目年度的产出和效益指标如下：</w:t>
      </w:r>
    </w:p>
    <w:p>
      <w:pPr>
        <w:pStyle w:val="8"/>
        <w:ind w:firstLine="0"/>
        <w:jc w:val="center"/>
        <w:rPr>
          <w:rFonts w:ascii="仿宋" w:hAnsi="仿宋" w:cs="仿宋"/>
        </w:rPr>
      </w:pPr>
      <w:r>
        <w:rPr>
          <w:rFonts w:ascii="仿宋" w:hAnsi="仿宋" w:cs="仿宋"/>
        </w:rPr>
        <w:t>表2.1 项目产出和效益目标表</w:t>
      </w:r>
    </w:p>
    <w:tbl>
      <w:tblPr>
        <w:tblStyle w:val="19"/>
        <w:tblW w:w="8998" w:type="dxa"/>
        <w:tblInd w:w="93" w:type="dxa"/>
        <w:tblLayout w:type="fixed"/>
        <w:tblCellMar>
          <w:top w:w="0" w:type="dxa"/>
          <w:left w:w="108" w:type="dxa"/>
          <w:bottom w:w="0" w:type="dxa"/>
          <w:right w:w="108" w:type="dxa"/>
        </w:tblCellMar>
      </w:tblPr>
      <w:tblGrid>
        <w:gridCol w:w="879"/>
        <w:gridCol w:w="1262"/>
        <w:gridCol w:w="2350"/>
        <w:gridCol w:w="4507"/>
      </w:tblGrid>
      <w:tr>
        <w:tblPrEx>
          <w:tblLayout w:type="fixed"/>
          <w:tblCellMar>
            <w:top w:w="0" w:type="dxa"/>
            <w:left w:w="108" w:type="dxa"/>
            <w:bottom w:w="0" w:type="dxa"/>
            <w:right w:w="108" w:type="dxa"/>
          </w:tblCellMar>
        </w:tblPrEx>
        <w:trPr>
          <w:trHeight w:val="397" w:hRule="atLeast"/>
        </w:trPr>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b/>
                <w:bCs/>
                <w:kern w:val="0"/>
                <w:sz w:val="24"/>
                <w:szCs w:val="24"/>
                <w:lang w:bidi="ar"/>
              </w:rPr>
            </w:pPr>
            <w:r>
              <w:rPr>
                <w:rFonts w:ascii="仿宋" w:hAnsi="仿宋" w:cs="仿宋"/>
                <w:b/>
                <w:bCs/>
                <w:kern w:val="0"/>
                <w:sz w:val="24"/>
                <w:szCs w:val="24"/>
                <w:lang w:bidi="ar"/>
              </w:rPr>
              <w:t>一级指标</w:t>
            </w:r>
          </w:p>
        </w:tc>
        <w:tc>
          <w:tcPr>
            <w:tcW w:w="12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b/>
                <w:bCs/>
                <w:kern w:val="0"/>
                <w:sz w:val="24"/>
                <w:szCs w:val="24"/>
                <w:lang w:bidi="ar"/>
              </w:rPr>
            </w:pPr>
            <w:r>
              <w:rPr>
                <w:rFonts w:ascii="仿宋" w:hAnsi="仿宋" w:cs="仿宋"/>
                <w:b/>
                <w:bCs/>
                <w:kern w:val="0"/>
                <w:sz w:val="24"/>
                <w:szCs w:val="24"/>
                <w:lang w:bidi="ar"/>
              </w:rPr>
              <w:t>二级指标</w:t>
            </w:r>
          </w:p>
        </w:tc>
        <w:tc>
          <w:tcPr>
            <w:tcW w:w="2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b/>
                <w:bCs/>
                <w:kern w:val="0"/>
                <w:sz w:val="24"/>
                <w:szCs w:val="24"/>
                <w:lang w:bidi="ar"/>
              </w:rPr>
            </w:pPr>
            <w:r>
              <w:rPr>
                <w:rFonts w:ascii="仿宋" w:hAnsi="仿宋" w:cs="仿宋"/>
                <w:b/>
                <w:bCs/>
                <w:kern w:val="0"/>
                <w:sz w:val="24"/>
                <w:szCs w:val="24"/>
                <w:lang w:bidi="ar"/>
              </w:rPr>
              <w:t>三级指标</w:t>
            </w:r>
          </w:p>
        </w:tc>
        <w:tc>
          <w:tcPr>
            <w:tcW w:w="450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ascii="仿宋" w:hAnsi="仿宋" w:cs="仿宋"/>
                <w:b/>
                <w:bCs/>
                <w:kern w:val="0"/>
                <w:sz w:val="24"/>
                <w:szCs w:val="24"/>
                <w:lang w:bidi="ar"/>
              </w:rPr>
            </w:pPr>
            <w:r>
              <w:rPr>
                <w:rFonts w:ascii="仿宋" w:hAnsi="仿宋" w:cs="仿宋"/>
                <w:b/>
                <w:bCs/>
                <w:kern w:val="0"/>
                <w:sz w:val="24"/>
                <w:szCs w:val="24"/>
                <w:lang w:bidi="ar"/>
              </w:rPr>
              <w:t>目标值</w:t>
            </w:r>
          </w:p>
        </w:tc>
      </w:tr>
      <w:tr>
        <w:tblPrEx>
          <w:tblLayout w:type="fixed"/>
          <w:tblCellMar>
            <w:top w:w="0" w:type="dxa"/>
            <w:left w:w="108" w:type="dxa"/>
            <w:bottom w:w="0" w:type="dxa"/>
            <w:right w:w="108" w:type="dxa"/>
          </w:tblCellMar>
        </w:tblPrEx>
        <w:trPr>
          <w:trHeight w:val="397" w:hRule="atLeast"/>
        </w:trPr>
        <w:tc>
          <w:tcPr>
            <w:tcW w:w="87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产出指标</w:t>
            </w:r>
          </w:p>
        </w:tc>
        <w:tc>
          <w:tcPr>
            <w:tcW w:w="1262" w:type="dxa"/>
            <w:vMerge w:val="restart"/>
            <w:tcBorders>
              <w:top w:val="single" w:color="000000" w:sz="4" w:space="0"/>
              <w:left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产出数量</w:t>
            </w:r>
          </w:p>
        </w:tc>
        <w:tc>
          <w:tcPr>
            <w:tcW w:w="2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sz w:val="21"/>
                <w:szCs w:val="21"/>
              </w:rPr>
              <w:t>项目建设按期开工率</w:t>
            </w:r>
          </w:p>
        </w:tc>
        <w:tc>
          <w:tcPr>
            <w:tcW w:w="450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ascii="仿宋" w:hAnsi="仿宋" w:cs="仿宋"/>
                <w:sz w:val="21"/>
                <w:szCs w:val="21"/>
              </w:rPr>
            </w:pPr>
            <w:r>
              <w:rPr>
                <w:rFonts w:ascii="仿宋" w:hAnsi="仿宋" w:cs="仿宋"/>
                <w:sz w:val="21"/>
                <w:szCs w:val="21"/>
              </w:rPr>
              <w:t>项目建设按期开工率100%</w:t>
            </w:r>
          </w:p>
        </w:tc>
      </w:tr>
      <w:tr>
        <w:tblPrEx>
          <w:tblLayout w:type="fixed"/>
          <w:tblCellMar>
            <w:top w:w="0" w:type="dxa"/>
            <w:left w:w="108" w:type="dxa"/>
            <w:bottom w:w="0" w:type="dxa"/>
            <w:right w:w="108" w:type="dxa"/>
          </w:tblCellMar>
        </w:tblPrEx>
        <w:trPr>
          <w:trHeight w:val="397" w:hRule="atLeast"/>
        </w:trPr>
        <w:tc>
          <w:tcPr>
            <w:tcW w:w="87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320" w:lineRule="exact"/>
              <w:ind w:firstLine="0"/>
              <w:jc w:val="center"/>
              <w:textAlignment w:val="center"/>
              <w:rPr>
                <w:rFonts w:ascii="仿宋" w:hAnsi="仿宋" w:cs="仿宋"/>
                <w:kern w:val="0"/>
                <w:sz w:val="21"/>
                <w:szCs w:val="21"/>
                <w:lang w:bidi="ar"/>
              </w:rPr>
            </w:pPr>
          </w:p>
        </w:tc>
        <w:tc>
          <w:tcPr>
            <w:tcW w:w="1262" w:type="dxa"/>
            <w:vMerge w:val="continue"/>
            <w:tcBorders>
              <w:top w:val="single" w:color="000000" w:sz="4" w:space="0"/>
              <w:left w:val="single" w:color="000000" w:sz="4" w:space="0"/>
              <w:right w:val="single" w:color="000000" w:sz="4" w:space="0"/>
            </w:tcBorders>
            <w:shd w:val="clear" w:color="auto" w:fill="FFFFFF"/>
            <w:vAlign w:val="center"/>
          </w:tcPr>
          <w:p>
            <w:pPr>
              <w:widowControl/>
              <w:snapToGrid w:val="0"/>
              <w:spacing w:line="320" w:lineRule="exact"/>
              <w:ind w:firstLine="0"/>
              <w:jc w:val="center"/>
              <w:textAlignment w:val="center"/>
              <w:rPr>
                <w:rFonts w:ascii="仿宋" w:hAnsi="仿宋" w:cs="仿宋"/>
                <w:kern w:val="0"/>
                <w:sz w:val="21"/>
                <w:szCs w:val="21"/>
                <w:lang w:bidi="ar"/>
              </w:rPr>
            </w:pPr>
          </w:p>
        </w:tc>
        <w:tc>
          <w:tcPr>
            <w:tcW w:w="2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kern w:val="0"/>
                <w:sz w:val="21"/>
                <w:szCs w:val="21"/>
                <w:lang w:bidi="ar"/>
              </w:rPr>
              <w:t>土地平整率</w:t>
            </w:r>
          </w:p>
        </w:tc>
        <w:tc>
          <w:tcPr>
            <w:tcW w:w="450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kern w:val="0"/>
                <w:sz w:val="21"/>
                <w:szCs w:val="21"/>
                <w:lang w:bidi="ar"/>
              </w:rPr>
              <w:t>项目用地土地平整全部完成</w:t>
            </w:r>
          </w:p>
        </w:tc>
      </w:tr>
      <w:tr>
        <w:tblPrEx>
          <w:tblLayout w:type="fixed"/>
          <w:tblCellMar>
            <w:top w:w="0" w:type="dxa"/>
            <w:left w:w="108" w:type="dxa"/>
            <w:bottom w:w="0" w:type="dxa"/>
            <w:right w:w="108" w:type="dxa"/>
          </w:tblCellMar>
        </w:tblPrEx>
        <w:trPr>
          <w:trHeight w:val="397" w:hRule="atLeast"/>
        </w:trPr>
        <w:tc>
          <w:tcPr>
            <w:tcW w:w="87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320" w:lineRule="exact"/>
              <w:ind w:firstLine="0"/>
              <w:jc w:val="center"/>
              <w:rPr>
                <w:rFonts w:ascii="仿宋" w:hAnsi="仿宋" w:cs="仿宋"/>
                <w:kern w:val="0"/>
                <w:sz w:val="21"/>
                <w:szCs w:val="21"/>
                <w:lang w:bidi="ar"/>
              </w:rPr>
            </w:pPr>
          </w:p>
        </w:tc>
        <w:tc>
          <w:tcPr>
            <w:tcW w:w="1262" w:type="dxa"/>
            <w:tcBorders>
              <w:top w:val="single" w:color="000000" w:sz="4" w:space="0"/>
              <w:left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产出质量</w:t>
            </w:r>
          </w:p>
        </w:tc>
        <w:tc>
          <w:tcPr>
            <w:tcW w:w="2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kern w:val="0"/>
                <w:sz w:val="21"/>
                <w:szCs w:val="21"/>
                <w:lang w:bidi="ar"/>
              </w:rPr>
              <w:t>验收合格率</w:t>
            </w:r>
          </w:p>
        </w:tc>
        <w:tc>
          <w:tcPr>
            <w:tcW w:w="450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kern w:val="0"/>
                <w:sz w:val="21"/>
                <w:szCs w:val="21"/>
                <w:lang w:bidi="ar"/>
              </w:rPr>
              <w:t>分项工程验收合格率100%</w:t>
            </w:r>
          </w:p>
        </w:tc>
      </w:tr>
      <w:tr>
        <w:tblPrEx>
          <w:tblLayout w:type="fixed"/>
          <w:tblCellMar>
            <w:top w:w="0" w:type="dxa"/>
            <w:left w:w="108" w:type="dxa"/>
            <w:bottom w:w="0" w:type="dxa"/>
            <w:right w:w="108" w:type="dxa"/>
          </w:tblCellMar>
        </w:tblPrEx>
        <w:trPr>
          <w:trHeight w:val="397" w:hRule="atLeast"/>
        </w:trPr>
        <w:tc>
          <w:tcPr>
            <w:tcW w:w="87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320" w:lineRule="exact"/>
              <w:ind w:firstLine="0"/>
              <w:jc w:val="center"/>
              <w:rPr>
                <w:rFonts w:ascii="仿宋" w:hAnsi="仿宋" w:cs="仿宋"/>
                <w:kern w:val="0"/>
                <w:sz w:val="21"/>
                <w:szCs w:val="21"/>
                <w:lang w:bidi="ar"/>
              </w:rPr>
            </w:pPr>
          </w:p>
        </w:tc>
        <w:tc>
          <w:tcPr>
            <w:tcW w:w="12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1"/>
                <w:szCs w:val="21"/>
              </w:rPr>
            </w:pPr>
            <w:r>
              <w:rPr>
                <w:rFonts w:ascii="仿宋" w:hAnsi="仿宋" w:cs="仿宋"/>
                <w:kern w:val="0"/>
                <w:sz w:val="21"/>
                <w:szCs w:val="21"/>
                <w:lang w:bidi="ar"/>
              </w:rPr>
              <w:t>产出时效</w:t>
            </w:r>
          </w:p>
        </w:tc>
        <w:tc>
          <w:tcPr>
            <w:tcW w:w="2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kern w:val="0"/>
                <w:sz w:val="21"/>
                <w:szCs w:val="21"/>
                <w:lang w:bidi="ar"/>
              </w:rPr>
              <w:t>建设进度及时性</w:t>
            </w:r>
          </w:p>
        </w:tc>
        <w:tc>
          <w:tcPr>
            <w:tcW w:w="450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kern w:val="0"/>
                <w:sz w:val="21"/>
                <w:szCs w:val="21"/>
                <w:lang w:bidi="ar"/>
              </w:rPr>
              <w:t>按照方案和合同约定序时完成</w:t>
            </w:r>
          </w:p>
        </w:tc>
      </w:tr>
      <w:tr>
        <w:tblPrEx>
          <w:tblLayout w:type="fixed"/>
          <w:tblCellMar>
            <w:top w:w="0" w:type="dxa"/>
            <w:left w:w="108" w:type="dxa"/>
            <w:bottom w:w="0" w:type="dxa"/>
            <w:right w:w="108" w:type="dxa"/>
          </w:tblCellMar>
        </w:tblPrEx>
        <w:trPr>
          <w:trHeight w:val="397" w:hRule="atLeast"/>
        </w:trPr>
        <w:tc>
          <w:tcPr>
            <w:tcW w:w="87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cs="仿宋"/>
                <w:sz w:val="24"/>
                <w:szCs w:val="24"/>
              </w:rPr>
            </w:pPr>
            <w:r>
              <w:rPr>
                <w:rFonts w:cs="仿宋"/>
                <w:kern w:val="0"/>
                <w:sz w:val="24"/>
                <w:szCs w:val="24"/>
                <w:lang w:bidi="ar"/>
              </w:rPr>
              <w:t>效益指标</w:t>
            </w:r>
          </w:p>
        </w:tc>
        <w:tc>
          <w:tcPr>
            <w:tcW w:w="12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cs="仿宋"/>
                <w:kern w:val="0"/>
                <w:sz w:val="24"/>
                <w:szCs w:val="24"/>
                <w:lang w:bidi="ar"/>
              </w:rPr>
            </w:pPr>
            <w:r>
              <w:rPr>
                <w:rFonts w:cs="仿宋"/>
                <w:kern w:val="0"/>
                <w:sz w:val="24"/>
                <w:szCs w:val="24"/>
                <w:lang w:bidi="ar"/>
              </w:rPr>
              <w:t>社会效益</w:t>
            </w:r>
          </w:p>
        </w:tc>
        <w:tc>
          <w:tcPr>
            <w:tcW w:w="2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cs="仿宋"/>
                <w:kern w:val="0"/>
                <w:sz w:val="24"/>
                <w:szCs w:val="24"/>
                <w:lang w:bidi="ar"/>
              </w:rPr>
            </w:pPr>
            <w:r>
              <w:rPr>
                <w:rFonts w:cs="仿宋"/>
                <w:kern w:val="0"/>
                <w:sz w:val="24"/>
                <w:szCs w:val="24"/>
                <w:lang w:bidi="ar"/>
              </w:rPr>
              <w:t>施工安全保障</w:t>
            </w:r>
          </w:p>
        </w:tc>
        <w:tc>
          <w:tcPr>
            <w:tcW w:w="450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kern w:val="0"/>
                <w:sz w:val="21"/>
                <w:szCs w:val="21"/>
                <w:lang w:bidi="ar"/>
              </w:rPr>
              <w:t>不发生重大事故或较大事故</w:t>
            </w:r>
          </w:p>
        </w:tc>
      </w:tr>
      <w:tr>
        <w:tblPrEx>
          <w:tblLayout w:type="fixed"/>
          <w:tblCellMar>
            <w:top w:w="0" w:type="dxa"/>
            <w:left w:w="108" w:type="dxa"/>
            <w:bottom w:w="0" w:type="dxa"/>
            <w:right w:w="108" w:type="dxa"/>
          </w:tblCellMar>
        </w:tblPrEx>
        <w:trPr>
          <w:trHeight w:val="397" w:hRule="atLeast"/>
        </w:trPr>
        <w:tc>
          <w:tcPr>
            <w:tcW w:w="87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320" w:lineRule="exact"/>
              <w:ind w:firstLine="0"/>
              <w:jc w:val="center"/>
              <w:rPr>
                <w:rFonts w:ascii="仿宋" w:hAnsi="仿宋" w:cs="仿宋"/>
                <w:kern w:val="0"/>
                <w:sz w:val="24"/>
                <w:szCs w:val="24"/>
                <w:lang w:bidi="ar"/>
              </w:rPr>
            </w:pPr>
          </w:p>
        </w:tc>
        <w:tc>
          <w:tcPr>
            <w:tcW w:w="12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cs="仿宋"/>
                <w:kern w:val="0"/>
                <w:sz w:val="24"/>
                <w:szCs w:val="24"/>
                <w:lang w:bidi="ar"/>
              </w:rPr>
            </w:pPr>
            <w:r>
              <w:rPr>
                <w:rFonts w:cs="仿宋"/>
                <w:kern w:val="0"/>
                <w:sz w:val="24"/>
                <w:szCs w:val="24"/>
                <w:lang w:bidi="ar"/>
              </w:rPr>
              <w:t>生态效益</w:t>
            </w:r>
          </w:p>
        </w:tc>
        <w:tc>
          <w:tcPr>
            <w:tcW w:w="2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cs="仿宋"/>
                <w:kern w:val="0"/>
                <w:sz w:val="24"/>
                <w:szCs w:val="24"/>
                <w:lang w:bidi="ar"/>
              </w:rPr>
            </w:pPr>
            <w:r>
              <w:rPr>
                <w:rFonts w:cs="仿宋"/>
                <w:kern w:val="0"/>
                <w:sz w:val="24"/>
                <w:szCs w:val="24"/>
                <w:lang w:bidi="ar"/>
              </w:rPr>
              <w:t>生态环境保护</w:t>
            </w:r>
          </w:p>
        </w:tc>
        <w:tc>
          <w:tcPr>
            <w:tcW w:w="450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ascii="仿宋" w:hAnsi="仿宋" w:cs="仿宋"/>
                <w:kern w:val="0"/>
                <w:sz w:val="21"/>
                <w:szCs w:val="21"/>
                <w:lang w:bidi="ar"/>
              </w:rPr>
            </w:pPr>
            <w:r>
              <w:rPr>
                <w:rFonts w:ascii="仿宋" w:hAnsi="仿宋" w:cs="仿宋"/>
                <w:kern w:val="0"/>
                <w:sz w:val="21"/>
                <w:szCs w:val="21"/>
                <w:lang w:bidi="ar"/>
              </w:rPr>
              <w:t>不发生环保投诉或事故</w:t>
            </w:r>
          </w:p>
        </w:tc>
      </w:tr>
      <w:tr>
        <w:tblPrEx>
          <w:tblLayout w:type="fixed"/>
          <w:tblCellMar>
            <w:top w:w="0" w:type="dxa"/>
            <w:left w:w="108" w:type="dxa"/>
            <w:bottom w:w="0" w:type="dxa"/>
            <w:right w:w="108" w:type="dxa"/>
          </w:tblCellMar>
        </w:tblPrEx>
        <w:trPr>
          <w:trHeight w:val="397" w:hRule="atLeast"/>
        </w:trPr>
        <w:tc>
          <w:tcPr>
            <w:tcW w:w="87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320" w:lineRule="exact"/>
              <w:ind w:firstLine="0"/>
              <w:jc w:val="center"/>
              <w:rPr>
                <w:rFonts w:ascii="仿宋" w:hAnsi="仿宋" w:cs="仿宋"/>
                <w:kern w:val="0"/>
                <w:sz w:val="24"/>
                <w:szCs w:val="24"/>
                <w:lang w:bidi="ar"/>
              </w:rPr>
            </w:pPr>
          </w:p>
        </w:tc>
        <w:tc>
          <w:tcPr>
            <w:tcW w:w="12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cs="仿宋"/>
                <w:kern w:val="0"/>
                <w:sz w:val="24"/>
                <w:szCs w:val="24"/>
                <w:lang w:bidi="ar"/>
              </w:rPr>
            </w:pPr>
            <w:r>
              <w:rPr>
                <w:rFonts w:cs="仿宋"/>
                <w:kern w:val="0"/>
                <w:sz w:val="24"/>
                <w:szCs w:val="24"/>
                <w:lang w:bidi="ar"/>
              </w:rPr>
              <w:t>可持续性</w:t>
            </w:r>
          </w:p>
        </w:tc>
        <w:tc>
          <w:tcPr>
            <w:tcW w:w="2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cs="仿宋"/>
                <w:kern w:val="0"/>
                <w:sz w:val="24"/>
                <w:szCs w:val="24"/>
                <w:lang w:bidi="ar"/>
              </w:rPr>
            </w:pPr>
            <w:r>
              <w:rPr>
                <w:rFonts w:cs="仿宋"/>
                <w:kern w:val="0"/>
                <w:sz w:val="24"/>
                <w:szCs w:val="24"/>
                <w:lang w:bidi="ar"/>
              </w:rPr>
              <w:t>项目可持续性</w:t>
            </w:r>
          </w:p>
        </w:tc>
        <w:tc>
          <w:tcPr>
            <w:tcW w:w="450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4"/>
                <w:szCs w:val="24"/>
              </w:rPr>
            </w:pPr>
            <w:r>
              <w:rPr>
                <w:rFonts w:cs="仿宋"/>
                <w:kern w:val="0"/>
                <w:sz w:val="24"/>
                <w:szCs w:val="24"/>
                <w:lang w:bidi="ar"/>
              </w:rPr>
              <w:t>达成预期指标</w:t>
            </w:r>
          </w:p>
        </w:tc>
      </w:tr>
    </w:tbl>
    <w:p>
      <w:pPr>
        <w:pStyle w:val="5"/>
        <w:shd w:val="clear" w:fill="FFFFFF"/>
        <w:spacing w:before="0" w:after="0" w:line="560" w:lineRule="exact"/>
        <w:ind w:firstLine="610"/>
        <w:rPr>
          <w:rFonts w:eastAsia="楷体"/>
          <w:kern w:val="0"/>
        </w:rPr>
      </w:pPr>
      <w:bookmarkStart w:id="11" w:name="__RefHeading___Toc142235560"/>
      <w:bookmarkEnd w:id="11"/>
      <w:r>
        <w:rPr>
          <w:rFonts w:eastAsia="楷体"/>
          <w:kern w:val="0"/>
        </w:rPr>
        <w:t>2.1.4经费来源和资金使用情况</w:t>
      </w:r>
    </w:p>
    <w:p>
      <w:pPr>
        <w:ind w:firstLine="607"/>
        <w:rPr>
          <w:rFonts w:ascii="仿宋" w:hAnsi="仿宋" w:cs="仿宋"/>
          <w:kern w:val="0"/>
        </w:rPr>
      </w:pPr>
      <w:bookmarkStart w:id="12" w:name="_Hlk140866793"/>
      <w:bookmarkEnd w:id="12"/>
      <w:r>
        <w:rPr>
          <w:rFonts w:ascii="仿宋" w:hAnsi="仿宋" w:cs="仿宋"/>
          <w:kern w:val="0"/>
        </w:rPr>
        <w:t>根据《关于崇阳县应急救援中心项目建议书的批复》（崇发改字〔2022〕290号）和项目单位项目申报书显示，本项目估算总投资7,824万元，2022年申请预算资金2,808万元，2022年实际到账金额2,808万元(其中一般债券2,000万元，政府性基金400万元，县级资金408万元)，实际资金到位率为100%；2022年实际执行金额为2,481.92万元，项目年度预算执行率为88.39%（其中一般债券资金2,000万元在2023年1月支付）（根据财政局要求，项目年度预算执行率计算截止时间为2023年1月31日），其资金到账和执行金额明细情况见下表1：</w:t>
      </w:r>
    </w:p>
    <w:p>
      <w:pPr>
        <w:pStyle w:val="61"/>
        <w:ind w:firstLine="0"/>
        <w:jc w:val="center"/>
        <w:rPr>
          <w:rFonts w:ascii="仿宋" w:hAnsi="仿宋" w:cs="仿宋"/>
          <w:b/>
          <w:bCs/>
          <w:sz w:val="30"/>
          <w:szCs w:val="30"/>
        </w:rPr>
      </w:pPr>
      <w:r>
        <w:rPr>
          <w:rFonts w:ascii="仿宋" w:hAnsi="仿宋" w:cs="仿宋"/>
          <w:b/>
          <w:bCs/>
          <w:sz w:val="30"/>
          <w:szCs w:val="30"/>
        </w:rPr>
        <w:t>表1   2022年项目资金到账及执行情况</w:t>
      </w:r>
    </w:p>
    <w:tbl>
      <w:tblPr>
        <w:tblStyle w:val="19"/>
        <w:tblW w:w="8874" w:type="dxa"/>
        <w:tblInd w:w="0" w:type="dxa"/>
        <w:tblLayout w:type="fixed"/>
        <w:tblCellMar>
          <w:top w:w="0" w:type="dxa"/>
          <w:left w:w="108" w:type="dxa"/>
          <w:bottom w:w="0" w:type="dxa"/>
          <w:right w:w="108" w:type="dxa"/>
        </w:tblCellMar>
      </w:tblPr>
      <w:tblGrid>
        <w:gridCol w:w="1918"/>
        <w:gridCol w:w="1739"/>
        <w:gridCol w:w="1322"/>
        <w:gridCol w:w="1422"/>
        <w:gridCol w:w="998"/>
        <w:gridCol w:w="1475"/>
      </w:tblGrid>
      <w:tr>
        <w:tblPrEx>
          <w:tblLayout w:type="fixed"/>
          <w:tblCellMar>
            <w:top w:w="0" w:type="dxa"/>
            <w:left w:w="108" w:type="dxa"/>
            <w:bottom w:w="0" w:type="dxa"/>
            <w:right w:w="108" w:type="dxa"/>
          </w:tblCellMar>
        </w:tblPrEx>
        <w:trPr>
          <w:trHeight w:val="726" w:hRule="atLeast"/>
        </w:trPr>
        <w:tc>
          <w:tcPr>
            <w:tcW w:w="191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ind w:firstLine="0"/>
              <w:jc w:val="center"/>
              <w:textAlignment w:val="center"/>
              <w:rPr>
                <w:rFonts w:ascii="仿宋" w:hAnsi="仿宋" w:cs="宋体"/>
                <w:b/>
                <w:bCs/>
                <w:sz w:val="22"/>
                <w:szCs w:val="22"/>
              </w:rPr>
            </w:pPr>
            <w:r>
              <w:rPr>
                <w:rFonts w:ascii="仿宋" w:hAnsi="仿宋" w:cs="宋体"/>
                <w:b/>
                <w:bCs/>
                <w:kern w:val="0"/>
                <w:sz w:val="22"/>
                <w:szCs w:val="22"/>
                <w:lang w:bidi="ar"/>
              </w:rPr>
              <w:t>资金来源</w:t>
            </w:r>
          </w:p>
        </w:tc>
        <w:tc>
          <w:tcPr>
            <w:tcW w:w="173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ind w:firstLine="0"/>
              <w:jc w:val="center"/>
              <w:textAlignment w:val="center"/>
              <w:rPr>
                <w:rFonts w:ascii="仿宋" w:hAnsi="仿宋" w:cs="宋体"/>
                <w:b/>
                <w:bCs/>
                <w:sz w:val="22"/>
                <w:szCs w:val="22"/>
              </w:rPr>
            </w:pPr>
            <w:r>
              <w:rPr>
                <w:rFonts w:ascii="仿宋" w:hAnsi="仿宋" w:cs="宋体"/>
                <w:b/>
                <w:bCs/>
                <w:kern w:val="0"/>
                <w:sz w:val="22"/>
                <w:szCs w:val="22"/>
                <w:lang w:bidi="ar"/>
              </w:rPr>
              <w:t>到账时间</w:t>
            </w:r>
          </w:p>
        </w:tc>
        <w:tc>
          <w:tcPr>
            <w:tcW w:w="132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ind w:firstLine="0"/>
              <w:jc w:val="center"/>
              <w:textAlignment w:val="center"/>
              <w:rPr>
                <w:rFonts w:ascii="仿宋" w:hAnsi="仿宋" w:cs="宋体"/>
                <w:b/>
                <w:bCs/>
                <w:sz w:val="22"/>
                <w:szCs w:val="22"/>
              </w:rPr>
            </w:pPr>
            <w:r>
              <w:rPr>
                <w:rFonts w:ascii="仿宋" w:hAnsi="仿宋" w:cs="宋体"/>
                <w:b/>
                <w:bCs/>
                <w:kern w:val="0"/>
                <w:sz w:val="22"/>
                <w:szCs w:val="22"/>
                <w:lang w:bidi="ar"/>
              </w:rPr>
              <w:t>到账金额    （万元）</w:t>
            </w:r>
          </w:p>
        </w:tc>
        <w:tc>
          <w:tcPr>
            <w:tcW w:w="142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ind w:firstLine="0"/>
              <w:jc w:val="center"/>
              <w:textAlignment w:val="center"/>
              <w:rPr>
                <w:rFonts w:ascii="仿宋" w:hAnsi="仿宋" w:cs="宋体"/>
                <w:b/>
                <w:bCs/>
                <w:sz w:val="22"/>
                <w:szCs w:val="22"/>
              </w:rPr>
            </w:pPr>
            <w:r>
              <w:rPr>
                <w:rFonts w:ascii="仿宋" w:hAnsi="仿宋" w:cs="宋体"/>
                <w:b/>
                <w:bCs/>
                <w:kern w:val="0"/>
                <w:sz w:val="22"/>
                <w:szCs w:val="22"/>
                <w:lang w:bidi="ar"/>
              </w:rPr>
              <w:t>2022年执行金额（万元）</w:t>
            </w:r>
          </w:p>
        </w:tc>
        <w:tc>
          <w:tcPr>
            <w:tcW w:w="99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ind w:firstLine="0"/>
              <w:jc w:val="center"/>
              <w:textAlignment w:val="center"/>
              <w:rPr>
                <w:rFonts w:ascii="仿宋" w:hAnsi="仿宋" w:cs="宋体"/>
                <w:b/>
                <w:bCs/>
                <w:sz w:val="22"/>
                <w:szCs w:val="22"/>
              </w:rPr>
            </w:pPr>
            <w:r>
              <w:rPr>
                <w:rFonts w:ascii="仿宋" w:hAnsi="仿宋" w:cs="宋体"/>
                <w:b/>
                <w:bCs/>
                <w:kern w:val="0"/>
                <w:sz w:val="22"/>
                <w:szCs w:val="22"/>
                <w:lang w:bidi="ar"/>
              </w:rPr>
              <w:t>预算执行率</w:t>
            </w:r>
          </w:p>
        </w:tc>
        <w:tc>
          <w:tcPr>
            <w:tcW w:w="14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ind w:firstLine="0"/>
              <w:jc w:val="center"/>
              <w:textAlignment w:val="center"/>
              <w:rPr>
                <w:rFonts w:ascii="仿宋" w:hAnsi="仿宋" w:cs="宋体"/>
                <w:b/>
                <w:bCs/>
                <w:kern w:val="0"/>
                <w:sz w:val="22"/>
                <w:szCs w:val="22"/>
                <w:lang w:bidi="ar"/>
              </w:rPr>
            </w:pPr>
            <w:r>
              <w:rPr>
                <w:rFonts w:ascii="仿宋" w:hAnsi="仿宋" w:cs="宋体"/>
                <w:b/>
                <w:bCs/>
                <w:kern w:val="0"/>
                <w:sz w:val="22"/>
                <w:szCs w:val="22"/>
                <w:lang w:bidi="ar"/>
              </w:rPr>
              <w:t>备注</w:t>
            </w:r>
          </w:p>
        </w:tc>
      </w:tr>
      <w:tr>
        <w:tblPrEx>
          <w:tblLayout w:type="fixed"/>
          <w:tblCellMar>
            <w:top w:w="0" w:type="dxa"/>
            <w:left w:w="108" w:type="dxa"/>
            <w:bottom w:w="0" w:type="dxa"/>
            <w:right w:w="108" w:type="dxa"/>
          </w:tblCellMar>
        </w:tblPrEx>
        <w:trPr>
          <w:trHeight w:val="640" w:hRule="atLeast"/>
        </w:trPr>
        <w:tc>
          <w:tcPr>
            <w:tcW w:w="1918"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rFonts w:ascii="仿宋" w:hAnsi="仿宋" w:cs="宋体"/>
                <w:sz w:val="22"/>
                <w:szCs w:val="22"/>
              </w:rPr>
            </w:pPr>
            <w:r>
              <w:rPr>
                <w:rFonts w:ascii="仿宋" w:hAnsi="仿宋" w:cs="宋体"/>
                <w:kern w:val="0"/>
                <w:sz w:val="22"/>
                <w:szCs w:val="22"/>
                <w:lang w:bidi="ar"/>
              </w:rPr>
              <w:t>一般债券</w:t>
            </w:r>
          </w:p>
        </w:tc>
        <w:tc>
          <w:tcPr>
            <w:tcW w:w="1739"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rFonts w:ascii="仿宋" w:hAnsi="仿宋" w:cs="宋体"/>
                <w:sz w:val="22"/>
                <w:szCs w:val="22"/>
              </w:rPr>
            </w:pPr>
            <w:r>
              <w:rPr>
                <w:rFonts w:ascii="仿宋" w:hAnsi="仿宋" w:cs="宋体"/>
                <w:kern w:val="0"/>
                <w:sz w:val="22"/>
                <w:szCs w:val="22"/>
                <w:lang w:bidi="ar"/>
              </w:rPr>
              <w:t>2022年6月13日</w:t>
            </w:r>
          </w:p>
        </w:tc>
        <w:tc>
          <w:tcPr>
            <w:tcW w:w="1322" w:type="dxa"/>
            <w:tcBorders>
              <w:top w:val="single" w:color="000000" w:sz="4" w:space="0"/>
              <w:left w:val="single" w:color="000000" w:sz="4" w:space="0"/>
              <w:bottom w:val="single" w:color="000000" w:sz="4" w:space="0"/>
              <w:right w:val="single" w:color="000000" w:sz="4" w:space="0"/>
            </w:tcBorders>
            <w:vAlign w:val="center"/>
          </w:tcPr>
          <w:p>
            <w:pPr>
              <w:widowControl/>
              <w:ind w:firstLine="0"/>
              <w:jc w:val="right"/>
              <w:textAlignment w:val="center"/>
              <w:rPr>
                <w:rFonts w:ascii="仿宋" w:hAnsi="仿宋" w:cs="宋体"/>
                <w:sz w:val="22"/>
                <w:szCs w:val="22"/>
              </w:rPr>
            </w:pPr>
            <w:r>
              <w:rPr>
                <w:rFonts w:ascii="仿宋" w:hAnsi="仿宋" w:cs="宋体"/>
                <w:kern w:val="0"/>
                <w:sz w:val="22"/>
                <w:szCs w:val="22"/>
                <w:lang w:bidi="ar"/>
              </w:rPr>
              <w:t>2,000.00</w:t>
            </w:r>
          </w:p>
        </w:tc>
        <w:tc>
          <w:tcPr>
            <w:tcW w:w="1422" w:type="dxa"/>
            <w:tcBorders>
              <w:top w:val="single" w:color="000000" w:sz="4" w:space="0"/>
              <w:left w:val="single" w:color="000000" w:sz="4" w:space="0"/>
              <w:bottom w:val="single" w:color="000000" w:sz="4" w:space="0"/>
              <w:right w:val="single" w:color="000000" w:sz="4" w:space="0"/>
            </w:tcBorders>
            <w:vAlign w:val="center"/>
          </w:tcPr>
          <w:p>
            <w:pPr>
              <w:widowControl/>
              <w:ind w:firstLine="0"/>
              <w:jc w:val="right"/>
              <w:textAlignment w:val="center"/>
              <w:rPr>
                <w:rFonts w:ascii="仿宋" w:hAnsi="仿宋" w:cs="宋体"/>
                <w:sz w:val="22"/>
                <w:szCs w:val="22"/>
              </w:rPr>
            </w:pPr>
            <w:r>
              <w:rPr>
                <w:rFonts w:ascii="仿宋" w:hAnsi="仿宋" w:cs="宋体"/>
                <w:kern w:val="0"/>
                <w:sz w:val="22"/>
                <w:szCs w:val="22"/>
                <w:lang w:bidi="ar"/>
              </w:rPr>
              <w:t>2,000.00</w:t>
            </w:r>
          </w:p>
        </w:tc>
        <w:tc>
          <w:tcPr>
            <w:tcW w:w="998"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rFonts w:ascii="仿宋" w:hAnsi="仿宋" w:cs="宋体"/>
                <w:sz w:val="22"/>
                <w:szCs w:val="22"/>
              </w:rPr>
            </w:pPr>
            <w:r>
              <w:rPr>
                <w:rFonts w:ascii="仿宋" w:hAnsi="仿宋" w:cs="宋体"/>
                <w:kern w:val="0"/>
                <w:sz w:val="22"/>
                <w:szCs w:val="22"/>
                <w:lang w:bidi="ar"/>
              </w:rPr>
              <w:t>100.00%</w:t>
            </w:r>
          </w:p>
        </w:tc>
        <w:tc>
          <w:tcPr>
            <w:tcW w:w="147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firstLine="0"/>
              <w:jc w:val="center"/>
              <w:textAlignment w:val="center"/>
              <w:rPr>
                <w:rFonts w:ascii="仿宋" w:hAnsi="仿宋" w:cs="宋体"/>
                <w:kern w:val="0"/>
                <w:sz w:val="22"/>
                <w:szCs w:val="22"/>
                <w:lang w:bidi="ar"/>
              </w:rPr>
            </w:pPr>
            <w:r>
              <w:rPr>
                <w:rFonts w:ascii="仿宋" w:hAnsi="仿宋" w:cs="宋体"/>
                <w:kern w:val="0"/>
                <w:sz w:val="22"/>
                <w:szCs w:val="22"/>
                <w:lang w:bidi="ar"/>
              </w:rPr>
              <w:t>2023年1月支付2000万元</w:t>
            </w:r>
          </w:p>
        </w:tc>
      </w:tr>
      <w:tr>
        <w:tblPrEx>
          <w:tblLayout w:type="fixed"/>
          <w:tblCellMar>
            <w:top w:w="0" w:type="dxa"/>
            <w:left w:w="108" w:type="dxa"/>
            <w:bottom w:w="0" w:type="dxa"/>
            <w:right w:w="108" w:type="dxa"/>
          </w:tblCellMar>
        </w:tblPrEx>
        <w:trPr>
          <w:trHeight w:val="640" w:hRule="atLeast"/>
        </w:trPr>
        <w:tc>
          <w:tcPr>
            <w:tcW w:w="1918"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rFonts w:ascii="仿宋" w:hAnsi="仿宋" w:cs="宋体"/>
                <w:sz w:val="22"/>
                <w:szCs w:val="22"/>
              </w:rPr>
            </w:pPr>
            <w:r>
              <w:rPr>
                <w:rFonts w:ascii="仿宋" w:hAnsi="仿宋" w:cs="宋体"/>
                <w:kern w:val="0"/>
                <w:sz w:val="22"/>
                <w:szCs w:val="22"/>
                <w:lang w:bidi="ar"/>
              </w:rPr>
              <w:t>政府性基金</w:t>
            </w:r>
          </w:p>
        </w:tc>
        <w:tc>
          <w:tcPr>
            <w:tcW w:w="1739"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rFonts w:ascii="仿宋" w:hAnsi="仿宋" w:cs="宋体"/>
                <w:sz w:val="22"/>
                <w:szCs w:val="22"/>
              </w:rPr>
            </w:pPr>
            <w:r>
              <w:rPr>
                <w:rFonts w:ascii="仿宋" w:hAnsi="仿宋" w:cs="宋体"/>
                <w:kern w:val="0"/>
                <w:sz w:val="22"/>
                <w:szCs w:val="22"/>
                <w:lang w:bidi="ar"/>
              </w:rPr>
              <w:t>2022年11月3日</w:t>
            </w:r>
          </w:p>
        </w:tc>
        <w:tc>
          <w:tcPr>
            <w:tcW w:w="1322" w:type="dxa"/>
            <w:tcBorders>
              <w:top w:val="single" w:color="000000" w:sz="4" w:space="0"/>
              <w:left w:val="single" w:color="000000" w:sz="4" w:space="0"/>
              <w:bottom w:val="single" w:color="000000" w:sz="4" w:space="0"/>
              <w:right w:val="single" w:color="000000" w:sz="4" w:space="0"/>
            </w:tcBorders>
            <w:vAlign w:val="center"/>
          </w:tcPr>
          <w:p>
            <w:pPr>
              <w:widowControl/>
              <w:ind w:firstLine="0"/>
              <w:jc w:val="right"/>
              <w:textAlignment w:val="center"/>
              <w:rPr>
                <w:rFonts w:ascii="仿宋" w:hAnsi="仿宋" w:cs="宋体"/>
                <w:sz w:val="22"/>
                <w:szCs w:val="22"/>
              </w:rPr>
            </w:pPr>
            <w:r>
              <w:rPr>
                <w:rFonts w:ascii="仿宋" w:hAnsi="仿宋" w:cs="宋体"/>
                <w:kern w:val="0"/>
                <w:sz w:val="22"/>
                <w:szCs w:val="22"/>
                <w:lang w:bidi="ar"/>
              </w:rPr>
              <w:t>400.00</w:t>
            </w:r>
          </w:p>
        </w:tc>
        <w:tc>
          <w:tcPr>
            <w:tcW w:w="1422" w:type="dxa"/>
            <w:tcBorders>
              <w:top w:val="single" w:color="000000" w:sz="4" w:space="0"/>
              <w:left w:val="single" w:color="000000" w:sz="4" w:space="0"/>
              <w:bottom w:val="single" w:color="000000" w:sz="4" w:space="0"/>
              <w:right w:val="single" w:color="000000" w:sz="4" w:space="0"/>
            </w:tcBorders>
            <w:vAlign w:val="center"/>
          </w:tcPr>
          <w:p>
            <w:pPr>
              <w:widowControl/>
              <w:ind w:firstLine="0"/>
              <w:jc w:val="right"/>
              <w:textAlignment w:val="center"/>
              <w:rPr>
                <w:rFonts w:ascii="仿宋" w:hAnsi="仿宋" w:cs="宋体"/>
                <w:sz w:val="22"/>
                <w:szCs w:val="22"/>
              </w:rPr>
            </w:pPr>
            <w:r>
              <w:rPr>
                <w:rFonts w:ascii="仿宋" w:hAnsi="仿宋" w:cs="宋体"/>
                <w:kern w:val="0"/>
                <w:sz w:val="22"/>
                <w:szCs w:val="22"/>
                <w:lang w:bidi="ar"/>
              </w:rPr>
              <w:t>88.80</w:t>
            </w:r>
          </w:p>
        </w:tc>
        <w:tc>
          <w:tcPr>
            <w:tcW w:w="998"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rFonts w:ascii="仿宋" w:hAnsi="仿宋" w:cs="宋体"/>
                <w:sz w:val="22"/>
                <w:szCs w:val="22"/>
              </w:rPr>
            </w:pPr>
            <w:r>
              <w:rPr>
                <w:rFonts w:ascii="仿宋" w:hAnsi="仿宋" w:cs="宋体"/>
                <w:kern w:val="0"/>
                <w:sz w:val="22"/>
                <w:szCs w:val="22"/>
                <w:lang w:bidi="ar"/>
              </w:rPr>
              <w:t>22.20%</w:t>
            </w:r>
          </w:p>
        </w:tc>
        <w:tc>
          <w:tcPr>
            <w:tcW w:w="1475" w:type="dxa"/>
            <w:tcBorders>
              <w:top w:val="single" w:color="000000" w:sz="4" w:space="0"/>
              <w:left w:val="single" w:color="000000" w:sz="4" w:space="0"/>
              <w:bottom w:val="single" w:color="000000" w:sz="4" w:space="0"/>
              <w:right w:val="single" w:color="000000" w:sz="4" w:space="0"/>
            </w:tcBorders>
            <w:vAlign w:val="center"/>
          </w:tcPr>
          <w:p>
            <w:pPr>
              <w:widowControl/>
              <w:snapToGrid w:val="0"/>
              <w:ind w:firstLine="0"/>
              <w:jc w:val="center"/>
              <w:textAlignment w:val="center"/>
              <w:rPr>
                <w:rFonts w:ascii="仿宋" w:hAnsi="仿宋" w:cs="宋体"/>
                <w:kern w:val="0"/>
                <w:sz w:val="22"/>
                <w:szCs w:val="22"/>
                <w:lang w:bidi="ar"/>
              </w:rPr>
            </w:pPr>
          </w:p>
        </w:tc>
      </w:tr>
      <w:tr>
        <w:tblPrEx>
          <w:tblLayout w:type="fixed"/>
          <w:tblCellMar>
            <w:top w:w="0" w:type="dxa"/>
            <w:left w:w="108" w:type="dxa"/>
            <w:bottom w:w="0" w:type="dxa"/>
            <w:right w:w="108" w:type="dxa"/>
          </w:tblCellMar>
        </w:tblPrEx>
        <w:trPr>
          <w:trHeight w:val="640" w:hRule="atLeast"/>
        </w:trPr>
        <w:tc>
          <w:tcPr>
            <w:tcW w:w="1918"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rFonts w:ascii="仿宋" w:hAnsi="仿宋" w:cs="宋体"/>
                <w:sz w:val="22"/>
                <w:szCs w:val="22"/>
              </w:rPr>
            </w:pPr>
            <w:r>
              <w:rPr>
                <w:rFonts w:ascii="仿宋" w:hAnsi="仿宋" w:cs="宋体"/>
                <w:kern w:val="0"/>
                <w:sz w:val="22"/>
                <w:szCs w:val="22"/>
                <w:lang w:bidi="ar"/>
              </w:rPr>
              <w:t>县级资金</w:t>
            </w:r>
          </w:p>
        </w:tc>
        <w:tc>
          <w:tcPr>
            <w:tcW w:w="1739"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rFonts w:ascii="仿宋" w:hAnsi="仿宋" w:cs="宋体"/>
                <w:sz w:val="22"/>
                <w:szCs w:val="22"/>
              </w:rPr>
            </w:pPr>
            <w:r>
              <w:rPr>
                <w:rFonts w:ascii="仿宋" w:hAnsi="仿宋" w:cs="宋体"/>
                <w:kern w:val="0"/>
                <w:sz w:val="22"/>
                <w:szCs w:val="22"/>
                <w:lang w:bidi="ar"/>
              </w:rPr>
              <w:t>2022年4月7日</w:t>
            </w:r>
          </w:p>
        </w:tc>
        <w:tc>
          <w:tcPr>
            <w:tcW w:w="1322" w:type="dxa"/>
            <w:tcBorders>
              <w:top w:val="single" w:color="000000" w:sz="4" w:space="0"/>
              <w:left w:val="single" w:color="000000" w:sz="4" w:space="0"/>
              <w:bottom w:val="single" w:color="000000" w:sz="4" w:space="0"/>
              <w:right w:val="single" w:color="000000" w:sz="4" w:space="0"/>
            </w:tcBorders>
            <w:vAlign w:val="center"/>
          </w:tcPr>
          <w:p>
            <w:pPr>
              <w:widowControl/>
              <w:ind w:firstLine="0"/>
              <w:jc w:val="right"/>
              <w:textAlignment w:val="center"/>
              <w:rPr>
                <w:rFonts w:ascii="仿宋" w:hAnsi="仿宋" w:cs="宋体"/>
                <w:sz w:val="22"/>
                <w:szCs w:val="22"/>
              </w:rPr>
            </w:pPr>
            <w:r>
              <w:rPr>
                <w:rFonts w:ascii="仿宋" w:hAnsi="仿宋" w:cs="宋体"/>
                <w:kern w:val="0"/>
                <w:sz w:val="22"/>
                <w:szCs w:val="22"/>
                <w:lang w:bidi="ar"/>
              </w:rPr>
              <w:t>400.00</w:t>
            </w:r>
          </w:p>
        </w:tc>
        <w:tc>
          <w:tcPr>
            <w:tcW w:w="1422" w:type="dxa"/>
            <w:tcBorders>
              <w:top w:val="single" w:color="000000" w:sz="4" w:space="0"/>
              <w:left w:val="single" w:color="000000" w:sz="4" w:space="0"/>
              <w:bottom w:val="single" w:color="000000" w:sz="4" w:space="0"/>
              <w:right w:val="single" w:color="000000" w:sz="4" w:space="0"/>
            </w:tcBorders>
            <w:vAlign w:val="center"/>
          </w:tcPr>
          <w:p>
            <w:pPr>
              <w:widowControl/>
              <w:ind w:firstLine="0"/>
              <w:jc w:val="right"/>
              <w:textAlignment w:val="center"/>
              <w:rPr>
                <w:rFonts w:ascii="仿宋" w:hAnsi="仿宋" w:cs="宋体"/>
                <w:sz w:val="22"/>
                <w:szCs w:val="22"/>
              </w:rPr>
            </w:pPr>
            <w:r>
              <w:rPr>
                <w:rFonts w:ascii="仿宋" w:hAnsi="仿宋" w:cs="宋体"/>
                <w:kern w:val="0"/>
                <w:sz w:val="22"/>
                <w:szCs w:val="22"/>
                <w:lang w:bidi="ar"/>
              </w:rPr>
              <w:t>385.12</w:t>
            </w:r>
          </w:p>
        </w:tc>
        <w:tc>
          <w:tcPr>
            <w:tcW w:w="998"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rFonts w:ascii="仿宋" w:hAnsi="仿宋" w:cs="宋体"/>
                <w:sz w:val="22"/>
                <w:szCs w:val="22"/>
              </w:rPr>
            </w:pPr>
            <w:r>
              <w:rPr>
                <w:rFonts w:ascii="仿宋" w:hAnsi="仿宋" w:cs="宋体"/>
                <w:kern w:val="0"/>
                <w:sz w:val="22"/>
                <w:szCs w:val="22"/>
                <w:lang w:bidi="ar"/>
              </w:rPr>
              <w:t>96.28%</w:t>
            </w:r>
          </w:p>
        </w:tc>
        <w:tc>
          <w:tcPr>
            <w:tcW w:w="1475" w:type="dxa"/>
            <w:tcBorders>
              <w:top w:val="single" w:color="000000" w:sz="4" w:space="0"/>
              <w:left w:val="single" w:color="000000" w:sz="4" w:space="0"/>
              <w:bottom w:val="single" w:color="000000" w:sz="4" w:space="0"/>
              <w:right w:val="single" w:color="000000" w:sz="4" w:space="0"/>
            </w:tcBorders>
            <w:vAlign w:val="center"/>
          </w:tcPr>
          <w:p>
            <w:pPr>
              <w:widowControl/>
              <w:snapToGrid w:val="0"/>
              <w:ind w:firstLine="0"/>
              <w:jc w:val="center"/>
              <w:textAlignment w:val="center"/>
              <w:rPr>
                <w:rFonts w:ascii="仿宋" w:hAnsi="仿宋" w:cs="宋体"/>
                <w:kern w:val="0"/>
                <w:sz w:val="22"/>
                <w:szCs w:val="22"/>
                <w:lang w:bidi="ar"/>
              </w:rPr>
            </w:pPr>
          </w:p>
        </w:tc>
      </w:tr>
      <w:tr>
        <w:tblPrEx>
          <w:tblLayout w:type="fixed"/>
          <w:tblCellMar>
            <w:top w:w="0" w:type="dxa"/>
            <w:left w:w="108" w:type="dxa"/>
            <w:bottom w:w="0" w:type="dxa"/>
            <w:right w:w="108" w:type="dxa"/>
          </w:tblCellMar>
        </w:tblPrEx>
        <w:trPr>
          <w:trHeight w:val="640" w:hRule="atLeast"/>
        </w:trPr>
        <w:tc>
          <w:tcPr>
            <w:tcW w:w="1918"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宋体"/>
                <w:sz w:val="22"/>
                <w:szCs w:val="22"/>
              </w:rPr>
            </w:pPr>
            <w:r>
              <w:rPr>
                <w:rFonts w:ascii="仿宋" w:hAnsi="仿宋" w:cs="宋体"/>
                <w:kern w:val="0"/>
                <w:sz w:val="22"/>
                <w:szCs w:val="22"/>
                <w:lang w:bidi="ar"/>
              </w:rPr>
              <w:t>县级资金（智慧应急项目）</w:t>
            </w:r>
          </w:p>
        </w:tc>
        <w:tc>
          <w:tcPr>
            <w:tcW w:w="1739"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rFonts w:ascii="仿宋" w:hAnsi="仿宋" w:cs="宋体"/>
                <w:sz w:val="22"/>
                <w:szCs w:val="22"/>
              </w:rPr>
            </w:pPr>
            <w:r>
              <w:rPr>
                <w:rFonts w:ascii="仿宋" w:hAnsi="仿宋" w:cs="宋体"/>
                <w:kern w:val="0"/>
                <w:sz w:val="22"/>
                <w:szCs w:val="22"/>
                <w:lang w:bidi="ar"/>
              </w:rPr>
              <w:t>2022年1月26日</w:t>
            </w:r>
          </w:p>
        </w:tc>
        <w:tc>
          <w:tcPr>
            <w:tcW w:w="1322" w:type="dxa"/>
            <w:tcBorders>
              <w:top w:val="single" w:color="000000" w:sz="4" w:space="0"/>
              <w:left w:val="single" w:color="000000" w:sz="4" w:space="0"/>
              <w:bottom w:val="single" w:color="000000" w:sz="4" w:space="0"/>
              <w:right w:val="single" w:color="000000" w:sz="4" w:space="0"/>
            </w:tcBorders>
            <w:vAlign w:val="center"/>
          </w:tcPr>
          <w:p>
            <w:pPr>
              <w:widowControl/>
              <w:ind w:firstLine="0"/>
              <w:jc w:val="right"/>
              <w:textAlignment w:val="center"/>
              <w:rPr>
                <w:rFonts w:ascii="仿宋" w:hAnsi="仿宋" w:cs="宋体"/>
                <w:sz w:val="22"/>
                <w:szCs w:val="22"/>
              </w:rPr>
            </w:pPr>
            <w:r>
              <w:rPr>
                <w:rFonts w:ascii="仿宋" w:hAnsi="仿宋" w:cs="宋体"/>
                <w:kern w:val="0"/>
                <w:sz w:val="22"/>
                <w:szCs w:val="22"/>
                <w:lang w:bidi="ar"/>
              </w:rPr>
              <w:t>8.00</w:t>
            </w:r>
          </w:p>
        </w:tc>
        <w:tc>
          <w:tcPr>
            <w:tcW w:w="1422" w:type="dxa"/>
            <w:tcBorders>
              <w:top w:val="single" w:color="000000" w:sz="4" w:space="0"/>
              <w:left w:val="single" w:color="000000" w:sz="4" w:space="0"/>
              <w:bottom w:val="single" w:color="000000" w:sz="4" w:space="0"/>
              <w:right w:val="single" w:color="000000" w:sz="4" w:space="0"/>
            </w:tcBorders>
            <w:vAlign w:val="center"/>
          </w:tcPr>
          <w:p>
            <w:pPr>
              <w:widowControl/>
              <w:ind w:firstLine="0"/>
              <w:jc w:val="right"/>
              <w:textAlignment w:val="center"/>
              <w:rPr>
                <w:rFonts w:ascii="仿宋" w:hAnsi="仿宋" w:cs="宋体"/>
                <w:sz w:val="22"/>
                <w:szCs w:val="22"/>
              </w:rPr>
            </w:pPr>
            <w:r>
              <w:rPr>
                <w:rFonts w:ascii="仿宋" w:hAnsi="仿宋" w:cs="宋体"/>
                <w:kern w:val="0"/>
                <w:sz w:val="22"/>
                <w:szCs w:val="22"/>
                <w:lang w:bidi="ar"/>
              </w:rPr>
              <w:t>8.00</w:t>
            </w:r>
          </w:p>
        </w:tc>
        <w:tc>
          <w:tcPr>
            <w:tcW w:w="998"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rFonts w:ascii="仿宋" w:hAnsi="仿宋" w:cs="宋体"/>
                <w:sz w:val="22"/>
                <w:szCs w:val="22"/>
              </w:rPr>
            </w:pPr>
            <w:r>
              <w:rPr>
                <w:rFonts w:ascii="仿宋" w:hAnsi="仿宋" w:cs="宋体"/>
                <w:kern w:val="0"/>
                <w:sz w:val="22"/>
                <w:szCs w:val="22"/>
                <w:lang w:bidi="ar"/>
              </w:rPr>
              <w:t>100.00%</w:t>
            </w:r>
          </w:p>
        </w:tc>
        <w:tc>
          <w:tcPr>
            <w:tcW w:w="1475" w:type="dxa"/>
            <w:tcBorders>
              <w:top w:val="single" w:color="000000" w:sz="4" w:space="0"/>
              <w:left w:val="single" w:color="000000" w:sz="4" w:space="0"/>
              <w:bottom w:val="single" w:color="000000" w:sz="4" w:space="0"/>
              <w:right w:val="single" w:color="000000" w:sz="4" w:space="0"/>
            </w:tcBorders>
            <w:vAlign w:val="center"/>
          </w:tcPr>
          <w:p>
            <w:pPr>
              <w:widowControl/>
              <w:snapToGrid w:val="0"/>
              <w:ind w:firstLine="0"/>
              <w:jc w:val="center"/>
              <w:textAlignment w:val="center"/>
              <w:rPr>
                <w:rFonts w:ascii="仿宋" w:hAnsi="仿宋" w:cs="宋体"/>
                <w:kern w:val="0"/>
                <w:sz w:val="22"/>
                <w:szCs w:val="22"/>
                <w:lang w:bidi="ar"/>
              </w:rPr>
            </w:pPr>
          </w:p>
        </w:tc>
      </w:tr>
      <w:tr>
        <w:tblPrEx>
          <w:tblLayout w:type="fixed"/>
          <w:tblCellMar>
            <w:top w:w="0" w:type="dxa"/>
            <w:left w:w="108" w:type="dxa"/>
            <w:bottom w:w="0" w:type="dxa"/>
            <w:right w:w="108" w:type="dxa"/>
          </w:tblCellMar>
        </w:tblPrEx>
        <w:trPr>
          <w:trHeight w:val="640" w:hRule="atLeast"/>
        </w:trPr>
        <w:tc>
          <w:tcPr>
            <w:tcW w:w="1918"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rFonts w:ascii="仿宋" w:hAnsi="仿宋" w:cs="宋体"/>
                <w:b/>
                <w:bCs/>
                <w:sz w:val="22"/>
                <w:szCs w:val="22"/>
              </w:rPr>
            </w:pPr>
            <w:r>
              <w:rPr>
                <w:rFonts w:ascii="仿宋" w:hAnsi="仿宋" w:cs="宋体"/>
                <w:b/>
                <w:bCs/>
                <w:kern w:val="0"/>
                <w:sz w:val="22"/>
                <w:szCs w:val="22"/>
                <w:lang w:bidi="ar"/>
              </w:rPr>
              <w:t>合计</w:t>
            </w:r>
          </w:p>
        </w:tc>
        <w:tc>
          <w:tcPr>
            <w:tcW w:w="1739" w:type="dxa"/>
            <w:tcBorders>
              <w:top w:val="single" w:color="000000" w:sz="4" w:space="0"/>
              <w:left w:val="single" w:color="000000" w:sz="4" w:space="0"/>
              <w:bottom w:val="single" w:color="000000" w:sz="4" w:space="0"/>
              <w:right w:val="single" w:color="000000" w:sz="4" w:space="0"/>
            </w:tcBorders>
            <w:vAlign w:val="center"/>
          </w:tcPr>
          <w:p>
            <w:pPr>
              <w:snapToGrid w:val="0"/>
              <w:ind w:firstLine="409"/>
              <w:jc w:val="left"/>
              <w:rPr>
                <w:rFonts w:ascii="仿宋" w:hAnsi="仿宋" w:cs="宋体"/>
                <w:b/>
                <w:bCs/>
                <w:sz w:val="22"/>
                <w:szCs w:val="22"/>
              </w:rPr>
            </w:pPr>
          </w:p>
        </w:tc>
        <w:tc>
          <w:tcPr>
            <w:tcW w:w="1322" w:type="dxa"/>
            <w:tcBorders>
              <w:top w:val="single" w:color="000000" w:sz="4" w:space="0"/>
              <w:left w:val="single" w:color="000000" w:sz="4" w:space="0"/>
              <w:bottom w:val="single" w:color="000000" w:sz="4" w:space="0"/>
              <w:right w:val="single" w:color="000000" w:sz="4" w:space="0"/>
            </w:tcBorders>
            <w:vAlign w:val="center"/>
          </w:tcPr>
          <w:p>
            <w:pPr>
              <w:widowControl/>
              <w:ind w:firstLine="0"/>
              <w:jc w:val="right"/>
              <w:textAlignment w:val="center"/>
              <w:rPr>
                <w:rFonts w:ascii="仿宋" w:hAnsi="仿宋" w:cs="宋体"/>
                <w:b/>
                <w:bCs/>
                <w:sz w:val="22"/>
                <w:szCs w:val="22"/>
              </w:rPr>
            </w:pPr>
            <w:r>
              <w:rPr>
                <w:rFonts w:ascii="仿宋" w:hAnsi="仿宋" w:cs="宋体"/>
                <w:b/>
                <w:bCs/>
                <w:kern w:val="0"/>
                <w:sz w:val="22"/>
                <w:szCs w:val="22"/>
                <w:lang w:bidi="ar"/>
              </w:rPr>
              <w:t>2,808.00</w:t>
            </w:r>
          </w:p>
        </w:tc>
        <w:tc>
          <w:tcPr>
            <w:tcW w:w="1422" w:type="dxa"/>
            <w:tcBorders>
              <w:top w:val="single" w:color="000000" w:sz="4" w:space="0"/>
              <w:left w:val="single" w:color="000000" w:sz="4" w:space="0"/>
              <w:bottom w:val="single" w:color="000000" w:sz="4" w:space="0"/>
              <w:right w:val="single" w:color="000000" w:sz="4" w:space="0"/>
            </w:tcBorders>
            <w:vAlign w:val="center"/>
          </w:tcPr>
          <w:p>
            <w:pPr>
              <w:widowControl/>
              <w:ind w:firstLine="0"/>
              <w:jc w:val="right"/>
              <w:textAlignment w:val="center"/>
              <w:rPr>
                <w:rFonts w:ascii="仿宋" w:hAnsi="仿宋" w:cs="宋体"/>
                <w:b/>
                <w:bCs/>
                <w:sz w:val="22"/>
                <w:szCs w:val="22"/>
              </w:rPr>
            </w:pPr>
            <w:r>
              <w:rPr>
                <w:rFonts w:ascii="仿宋" w:hAnsi="仿宋" w:cs="宋体"/>
                <w:b/>
                <w:bCs/>
                <w:kern w:val="0"/>
                <w:sz w:val="22"/>
                <w:szCs w:val="22"/>
                <w:lang w:bidi="ar"/>
              </w:rPr>
              <w:t>2,481.92</w:t>
            </w:r>
          </w:p>
        </w:tc>
        <w:tc>
          <w:tcPr>
            <w:tcW w:w="998" w:type="dxa"/>
            <w:tcBorders>
              <w:top w:val="single" w:color="000000" w:sz="4" w:space="0"/>
              <w:left w:val="single" w:color="000000" w:sz="4" w:space="0"/>
              <w:bottom w:val="single" w:color="000000" w:sz="4" w:space="0"/>
              <w:right w:val="single" w:color="000000" w:sz="4" w:space="0"/>
            </w:tcBorders>
            <w:vAlign w:val="center"/>
          </w:tcPr>
          <w:p>
            <w:pPr>
              <w:widowControl/>
              <w:ind w:firstLine="0"/>
              <w:jc w:val="center"/>
              <w:textAlignment w:val="center"/>
              <w:rPr>
                <w:rFonts w:ascii="仿宋" w:hAnsi="仿宋" w:cs="宋体"/>
                <w:b/>
                <w:bCs/>
                <w:sz w:val="22"/>
                <w:szCs w:val="22"/>
              </w:rPr>
            </w:pPr>
            <w:r>
              <w:rPr>
                <w:rFonts w:ascii="仿宋" w:hAnsi="仿宋" w:cs="宋体"/>
                <w:b/>
                <w:bCs/>
                <w:kern w:val="0"/>
                <w:sz w:val="22"/>
                <w:szCs w:val="22"/>
                <w:lang w:bidi="ar"/>
              </w:rPr>
              <w:t>88.39%</w:t>
            </w:r>
          </w:p>
        </w:tc>
        <w:tc>
          <w:tcPr>
            <w:tcW w:w="1475" w:type="dxa"/>
            <w:tcBorders>
              <w:top w:val="single" w:color="000000" w:sz="4" w:space="0"/>
              <w:left w:val="single" w:color="000000" w:sz="4" w:space="0"/>
              <w:bottom w:val="single" w:color="000000" w:sz="4" w:space="0"/>
              <w:right w:val="single" w:color="000000" w:sz="4" w:space="0"/>
            </w:tcBorders>
            <w:vAlign w:val="center"/>
          </w:tcPr>
          <w:p>
            <w:pPr>
              <w:widowControl/>
              <w:snapToGrid w:val="0"/>
              <w:ind w:firstLine="409"/>
              <w:jc w:val="left"/>
              <w:textAlignment w:val="center"/>
              <w:rPr>
                <w:rFonts w:ascii="仿宋" w:hAnsi="仿宋" w:cs="宋体"/>
                <w:b/>
                <w:bCs/>
                <w:kern w:val="0"/>
                <w:sz w:val="22"/>
                <w:szCs w:val="22"/>
                <w:lang w:bidi="ar"/>
              </w:rPr>
            </w:pPr>
          </w:p>
        </w:tc>
      </w:tr>
    </w:tbl>
    <w:p>
      <w:pPr>
        <w:pStyle w:val="5"/>
        <w:shd w:val="clear" w:fill="FFFFFF"/>
        <w:spacing w:before="0" w:after="0" w:line="560" w:lineRule="exact"/>
        <w:ind w:firstLine="610"/>
        <w:rPr>
          <w:rFonts w:eastAsia="楷体"/>
          <w:kern w:val="0"/>
        </w:rPr>
      </w:pPr>
      <w:bookmarkStart w:id="13" w:name="__RefHeading___Toc142235561"/>
      <w:bookmarkEnd w:id="13"/>
      <w:bookmarkStart w:id="14" w:name="_Hlk140866793"/>
      <w:bookmarkEnd w:id="14"/>
      <w:r>
        <w:rPr>
          <w:rFonts w:eastAsia="楷体"/>
          <w:kern w:val="0"/>
        </w:rPr>
        <w:t>2.1.5项目实施情况</w:t>
      </w:r>
    </w:p>
    <w:p>
      <w:pPr>
        <w:shd w:val="clear" w:fill="FFFFFF"/>
        <w:ind w:firstLine="607"/>
        <w:rPr>
          <w:kern w:val="0"/>
        </w:rPr>
      </w:pPr>
      <w:r>
        <w:rPr>
          <w:kern w:val="0"/>
        </w:rPr>
        <w:t>2.1.5.1项目审批情况</w:t>
      </w:r>
    </w:p>
    <w:p>
      <w:pPr>
        <w:shd w:val="clear" w:fill="FFFFFF"/>
        <w:ind w:firstLine="607"/>
        <w:rPr>
          <w:kern w:val="0"/>
        </w:rPr>
      </w:pPr>
      <w:r>
        <w:rPr>
          <w:rFonts w:ascii="仿宋" w:hAnsi="仿宋" w:cs="仿宋"/>
          <w:kern w:val="0"/>
        </w:rPr>
        <w:t>2022年9月6日取</w:t>
      </w:r>
      <w:r>
        <w:rPr>
          <w:kern w:val="0"/>
        </w:rPr>
        <w:t>得《关于崇阳县应急救援中心建设项目建议</w:t>
      </w:r>
      <w:r>
        <w:rPr>
          <w:rFonts w:ascii="仿宋" w:hAnsi="仿宋" w:cs="仿宋"/>
          <w:kern w:val="0"/>
        </w:rPr>
        <w:t>书的批复》（崇发改字〔2022〕290号），同年10月8日，崇阳县发展和改革局下发《关于崇阳县应急救援中心建设项目可行性研究报告的批复》（崇发改字〔2022〕336号），原则同意崇阳县应急救援中心项目的建设；9月15日咸宁市生态环境局崇阳县分局出具了《关于崇阳县应急救援中心项目环境保护的初步认定意见》。截止评价日，评价项目单位不能提供《建设工程规划许可证》《建设工程施工许可证》等证照。</w:t>
      </w:r>
    </w:p>
    <w:p>
      <w:pPr>
        <w:shd w:val="clear" w:fill="FFFFFF"/>
        <w:ind w:firstLine="607"/>
        <w:rPr>
          <w:kern w:val="0"/>
        </w:rPr>
      </w:pPr>
      <w:r>
        <w:rPr>
          <w:kern w:val="0"/>
        </w:rPr>
        <w:t>2.1.5.2项目建设情况</w:t>
      </w:r>
    </w:p>
    <w:p>
      <w:pPr>
        <w:shd w:val="clear" w:fill="FFFFFF"/>
        <w:ind w:firstLine="607"/>
        <w:rPr>
          <w:rFonts w:ascii="仿宋" w:hAnsi="仿宋" w:cs="仿宋"/>
          <w:kern w:val="0"/>
        </w:rPr>
      </w:pPr>
      <w:r>
        <w:rPr>
          <w:rFonts w:ascii="仿宋" w:hAnsi="仿宋" w:cs="仿宋"/>
          <w:kern w:val="0"/>
        </w:rPr>
        <w:t>本项目2022年仅完成项目用地的拆迁赔偿等前期工作任务。2023年分两个标段完成建设工程招标工作；标段一中标公司为崇阳县双庆建筑有限公司，中标金额为1,853.66万元，主要承建内容为5层综合楼、配电房、门卫室、消防水池等土建及安装工程，合同约定计划开工时间为2023年6月25日，计划竣工时间为2024年6月25日。2023年6月20日下达项目开工令。</w:t>
      </w:r>
    </w:p>
    <w:p>
      <w:pPr>
        <w:shd w:val="clear" w:fill="FFFFFF"/>
        <w:ind w:firstLine="607"/>
        <w:rPr>
          <w:rFonts w:ascii="仿宋" w:hAnsi="仿宋" w:cs="仿宋"/>
          <w:kern w:val="0"/>
        </w:rPr>
      </w:pPr>
      <w:r>
        <w:rPr>
          <w:rFonts w:ascii="仿宋" w:hAnsi="仿宋" w:cs="仿宋"/>
          <w:kern w:val="0"/>
        </w:rPr>
        <w:t>标段二中标公司为崇阳县市程建筑工程有限公司，中标金额为1,037.84万元，合同约定计划开工时间为2023年5月22日，计划竣工时间为2023年11月17日。</w:t>
      </w:r>
      <w:r>
        <w:rPr>
          <w:rFonts w:hint="eastAsia" w:ascii="仿宋" w:hAnsi="仿宋" w:cs="仿宋"/>
          <w:kern w:val="0"/>
          <w:lang w:val="en-US" w:eastAsia="zh-CN"/>
        </w:rPr>
        <w:t>截至</w:t>
      </w:r>
      <w:r>
        <w:rPr>
          <w:rFonts w:ascii="仿宋" w:hAnsi="仿宋" w:cs="仿宋"/>
          <w:kern w:val="0"/>
        </w:rPr>
        <w:t>评价日，项目第二标段还未正式开工。</w:t>
      </w:r>
    </w:p>
    <w:p>
      <w:pPr>
        <w:shd w:val="clear" w:fill="FFFFFF"/>
        <w:ind w:firstLine="0"/>
        <w:rPr>
          <w:rFonts w:ascii="仿宋" w:hAnsi="仿宋" w:cs="仿宋"/>
          <w:kern w:val="0"/>
        </w:rPr>
      </w:pPr>
    </w:p>
    <w:p>
      <w:pPr>
        <w:pStyle w:val="4"/>
        <w:shd w:val="clear" w:fill="FFFFFF"/>
        <w:spacing w:before="0" w:after="0" w:line="560" w:lineRule="exact"/>
        <w:ind w:firstLine="610"/>
        <w:contextualSpacing/>
        <w:jc w:val="left"/>
        <w:rPr>
          <w:rFonts w:ascii="Times New Roman" w:hAnsi="Times New Roman" w:eastAsia="楷体" w:cs="Times New Roman"/>
        </w:rPr>
      </w:pPr>
      <w:bookmarkStart w:id="15" w:name="__RefHeading___Toc142235562"/>
      <w:bookmarkEnd w:id="15"/>
      <w:r>
        <w:rPr>
          <w:rFonts w:ascii="Times New Roman" w:hAnsi="Times New Roman" w:eastAsia="楷体" w:cs="Times New Roman"/>
        </w:rPr>
        <w:t>2.2绩效评价工作开展情况</w:t>
      </w:r>
    </w:p>
    <w:p>
      <w:pPr>
        <w:pStyle w:val="5"/>
        <w:shd w:val="clear" w:fill="FFFFFF"/>
        <w:spacing w:before="0" w:after="0" w:line="560" w:lineRule="exact"/>
        <w:ind w:firstLine="610"/>
        <w:rPr>
          <w:rFonts w:eastAsia="楷体"/>
          <w:kern w:val="0"/>
        </w:rPr>
      </w:pPr>
      <w:bookmarkStart w:id="16" w:name="__RefHeading___Toc142235563"/>
      <w:bookmarkEnd w:id="16"/>
      <w:r>
        <w:rPr>
          <w:rFonts w:eastAsia="楷体"/>
          <w:kern w:val="0"/>
        </w:rPr>
        <w:t>2.2.1绩效评价目的、对象和范围</w:t>
      </w:r>
    </w:p>
    <w:p>
      <w:pPr>
        <w:pStyle w:val="5"/>
        <w:shd w:val="clear" w:fill="FFFFFF"/>
        <w:spacing w:before="0" w:after="0" w:line="560" w:lineRule="exact"/>
        <w:ind w:firstLine="607"/>
        <w:rPr>
          <w:rFonts w:eastAsia="楷体"/>
          <w:b w:val="0"/>
          <w:bCs w:val="0"/>
          <w:kern w:val="0"/>
        </w:rPr>
      </w:pPr>
      <w:r>
        <w:rPr>
          <w:rFonts w:eastAsia="楷体"/>
          <w:b w:val="0"/>
          <w:bCs w:val="0"/>
          <w:kern w:val="0"/>
        </w:rPr>
        <w:t>2.2.1.1评价目的</w:t>
      </w:r>
    </w:p>
    <w:p>
      <w:pPr>
        <w:shd w:val="clear" w:fill="FFFFFF"/>
        <w:ind w:firstLine="607"/>
      </w:pPr>
      <w:r>
        <w:rPr>
          <w:kern w:val="0"/>
        </w:rPr>
        <w:t>通过开展应急救援中心项目绩效评价，从项目的决策、过程、产出、效益等四个方面进行分析评价，发现项目存在的问题，给出结果应用的建议，得出项目绩效评价结论，为合理分配资金、优化支出提供依据，促进预算部门强化支出责任，规范管理行为，提高财政资金使用效益。</w:t>
      </w:r>
    </w:p>
    <w:p>
      <w:pPr>
        <w:pStyle w:val="5"/>
        <w:shd w:val="clear" w:fill="FFFFFF"/>
        <w:spacing w:before="0" w:after="0" w:line="560" w:lineRule="exact"/>
        <w:ind w:firstLine="607"/>
        <w:rPr>
          <w:rFonts w:eastAsia="楷体"/>
          <w:b w:val="0"/>
          <w:bCs w:val="0"/>
          <w:kern w:val="0"/>
        </w:rPr>
      </w:pPr>
      <w:r>
        <w:rPr>
          <w:rFonts w:eastAsia="楷体"/>
          <w:b w:val="0"/>
          <w:bCs w:val="0"/>
          <w:kern w:val="0"/>
        </w:rPr>
        <w:t>2.2.1.2评价对象和范围</w:t>
      </w:r>
    </w:p>
    <w:p>
      <w:pPr>
        <w:shd w:val="clear" w:fill="FFFFFF"/>
        <w:ind w:firstLine="607"/>
        <w:rPr>
          <w:kern w:val="0"/>
        </w:rPr>
      </w:pPr>
      <w:r>
        <w:rPr>
          <w:kern w:val="0"/>
        </w:rPr>
        <w:t>评价对象为崇阳县应急管理局2022年应急救援中心项目。</w:t>
      </w:r>
    </w:p>
    <w:p>
      <w:pPr>
        <w:ind w:firstLine="607"/>
      </w:pPr>
      <w:r>
        <w:rPr>
          <w:kern w:val="0"/>
        </w:rPr>
        <w:t>评价范围</w:t>
      </w:r>
      <w:r>
        <w:rPr>
          <w:rFonts w:hint="eastAsia"/>
          <w:kern w:val="0"/>
          <w:lang w:val="en-US" w:eastAsia="zh-CN"/>
        </w:rPr>
        <w:t>包括</w:t>
      </w:r>
      <w:r>
        <w:rPr>
          <w:kern w:val="0"/>
        </w:rPr>
        <w:t>本项目决策、过程、产出和效益指标完成情况。</w:t>
      </w:r>
    </w:p>
    <w:p>
      <w:pPr>
        <w:pStyle w:val="5"/>
        <w:shd w:val="clear" w:fill="FFFFFF"/>
        <w:spacing w:before="0" w:after="0" w:line="560" w:lineRule="exact"/>
        <w:ind w:firstLine="610"/>
        <w:rPr>
          <w:rFonts w:eastAsia="楷体"/>
          <w:b w:val="0"/>
          <w:bCs w:val="0"/>
          <w:kern w:val="0"/>
        </w:rPr>
      </w:pPr>
      <w:bookmarkStart w:id="17" w:name="__RefHeading___Toc142235566"/>
      <w:bookmarkEnd w:id="17"/>
      <w:r>
        <w:rPr>
          <w:rFonts w:eastAsia="楷体"/>
          <w:kern w:val="0"/>
        </w:rPr>
        <w:t>2.2.2评价指标</w:t>
      </w:r>
    </w:p>
    <w:p>
      <w:pPr>
        <w:snapToGrid w:val="0"/>
        <w:ind w:firstLine="607"/>
        <w:jc w:val="left"/>
        <w:rPr>
          <w:rFonts w:ascii="仿宋" w:hAnsi="仿宋" w:cs="仿宋"/>
          <w:kern w:val="0"/>
        </w:rPr>
      </w:pPr>
      <w:r>
        <w:rPr>
          <w:rFonts w:ascii="仿宋" w:hAnsi="仿宋" w:cs="仿宋"/>
          <w:kern w:val="0"/>
        </w:rPr>
        <w:t>根据财政部《关于印发〈项目支出绩效评价管理办法〉的通知》（财预〔2020〕10号）中项目支出绩效评价指标体系框架，以及《财政部关于印发〈地方政府专项债券项目资金绩效管理办法〉的通知》（财预〔2021〕61号）中提出的绩效评价管理要求，结合本项目的具体情况，设计应急救援中心项目绩效评价指标体系，从决策、过程、产出、效益四个维度，采用了</w:t>
      </w:r>
      <w:r>
        <w:rPr>
          <w:rFonts w:ascii="仿宋" w:hAnsi="仿宋" w:cs="仿宋"/>
        </w:rPr>
        <w:t>11个</w:t>
      </w:r>
      <w:r>
        <w:rPr>
          <w:rFonts w:ascii="仿宋" w:hAnsi="仿宋" w:cs="仿宋"/>
          <w:kern w:val="0"/>
        </w:rPr>
        <w:t>二级指标，设计了19个三级指标，对应急救援中心项目绩效评价报告进行综合评价。绩效评价指标体系及评分细则详见</w:t>
      </w:r>
      <w:r>
        <w:rPr>
          <w:rFonts w:ascii="仿宋" w:hAnsi="仿宋" w:cs="仿宋"/>
          <w:b/>
          <w:kern w:val="0"/>
        </w:rPr>
        <w:t>“附件1绩效评价指标体系评分明细表”</w:t>
      </w:r>
      <w:r>
        <w:rPr>
          <w:rFonts w:ascii="仿宋" w:hAnsi="仿宋" w:cs="仿宋"/>
          <w:kern w:val="0"/>
        </w:rPr>
        <w:t>。</w:t>
      </w:r>
    </w:p>
    <w:p>
      <w:pPr>
        <w:pStyle w:val="5"/>
        <w:shd w:val="clear" w:fill="FFFFFF"/>
        <w:spacing w:before="0" w:after="0" w:line="560" w:lineRule="exact"/>
        <w:ind w:firstLine="610"/>
        <w:rPr>
          <w:rFonts w:eastAsia="楷体"/>
          <w:kern w:val="0"/>
        </w:rPr>
      </w:pPr>
      <w:bookmarkStart w:id="18" w:name="__RefHeading___Toc142235567"/>
      <w:bookmarkEnd w:id="18"/>
      <w:r>
        <w:rPr>
          <w:rFonts w:eastAsia="楷体"/>
          <w:kern w:val="0"/>
        </w:rPr>
        <w:t>2.2.3综合评分方法</w:t>
      </w:r>
    </w:p>
    <w:p>
      <w:pPr>
        <w:ind w:firstLine="607"/>
        <w:rPr>
          <w:rFonts w:ascii="仿宋" w:hAnsi="仿宋" w:cs="仿宋"/>
          <w:kern w:val="0"/>
        </w:rPr>
      </w:pPr>
      <w:r>
        <w:rPr>
          <w:rFonts w:ascii="仿宋" w:hAnsi="仿宋" w:cs="仿宋"/>
          <w:kern w:val="0"/>
        </w:rPr>
        <w:t>运用上述评价方法，依据评价指标体系，采用百分制打分，结合各指标权重，衡量实际绩效值与评价标准值偏离程度，对不同的实现程度赋予不同分值，再根据评价实际得分确定评价等级。绩效评价等级划分为四档：90（含）-100分为优、80（含）-90分为良、60（含）-80分为中、60分以下为差。</w:t>
      </w:r>
    </w:p>
    <w:p>
      <w:pPr>
        <w:pStyle w:val="5"/>
        <w:shd w:val="clear" w:fill="FFFFFF"/>
        <w:spacing w:before="0" w:after="0" w:line="560" w:lineRule="exact"/>
        <w:ind w:firstLine="610"/>
        <w:rPr>
          <w:rFonts w:eastAsia="楷体"/>
          <w:kern w:val="0"/>
        </w:rPr>
      </w:pPr>
      <w:bookmarkStart w:id="19" w:name="__RefHeading___Toc142235568"/>
      <w:bookmarkEnd w:id="19"/>
      <w:r>
        <w:rPr>
          <w:rFonts w:eastAsia="楷体"/>
          <w:kern w:val="0"/>
        </w:rPr>
        <w:t>2.2.4评价方法</w:t>
      </w:r>
    </w:p>
    <w:p>
      <w:pPr>
        <w:shd w:val="clear" w:fill="FFFFFF"/>
        <w:ind w:firstLine="607"/>
        <w:rPr>
          <w:kern w:val="0"/>
        </w:rPr>
      </w:pPr>
      <w:r>
        <w:rPr>
          <w:kern w:val="0"/>
        </w:rPr>
        <w:t>本项目绩效评价采用的主要评价方法为比较法、因素分析法。</w:t>
      </w:r>
    </w:p>
    <w:p>
      <w:pPr>
        <w:shd w:val="clear" w:fill="FFFFFF"/>
        <w:ind w:firstLine="607"/>
        <w:rPr>
          <w:kern w:val="0"/>
        </w:rPr>
      </w:pPr>
      <w:r>
        <w:rPr>
          <w:kern w:val="0"/>
        </w:rPr>
        <w:t>比较法。是指将实施情况与绩效目标、历史情况、不同部门和地区同类支出情况进行比较的方法。</w:t>
      </w:r>
    </w:p>
    <w:p>
      <w:pPr>
        <w:shd w:val="clear" w:fill="FFFFFF"/>
        <w:ind w:firstLine="607"/>
        <w:rPr>
          <w:kern w:val="0"/>
        </w:rPr>
      </w:pPr>
      <w:r>
        <w:rPr>
          <w:kern w:val="0"/>
        </w:rPr>
        <w:t>因素分析法。是指综合分析影响绩效目标实现、实施效果的内外部因素的方法。</w:t>
      </w:r>
    </w:p>
    <w:p>
      <w:pPr>
        <w:pStyle w:val="5"/>
        <w:shd w:val="clear" w:fill="FFFFFF"/>
        <w:spacing w:before="0" w:after="0" w:line="560" w:lineRule="exact"/>
        <w:ind w:firstLine="610"/>
        <w:rPr>
          <w:rFonts w:eastAsia="楷体"/>
          <w:kern w:val="0"/>
        </w:rPr>
      </w:pPr>
      <w:bookmarkStart w:id="20" w:name="__RefHeading___Toc142235569"/>
      <w:bookmarkEnd w:id="20"/>
      <w:r>
        <w:rPr>
          <w:rFonts w:eastAsia="楷体"/>
          <w:kern w:val="0"/>
        </w:rPr>
        <w:t>2.2.5时间安排</w:t>
      </w:r>
    </w:p>
    <w:p>
      <w:pPr>
        <w:shd w:val="clear" w:fill="FFFFFF"/>
        <w:ind w:firstLine="607"/>
        <w:rPr>
          <w:rFonts w:ascii="仿宋" w:hAnsi="仿宋" w:cs="仿宋"/>
          <w:kern w:val="0"/>
        </w:rPr>
      </w:pPr>
      <w:r>
        <w:rPr>
          <w:rFonts w:ascii="仿宋" w:hAnsi="仿宋" w:cs="仿宋"/>
          <w:kern w:val="0"/>
        </w:rPr>
        <w:t>本次评价基准日为2022年12月31日。评价时间从2023年6月11日至2023年8月10日，历时60个日历日。评价工作过程如下：</w:t>
      </w:r>
    </w:p>
    <w:p>
      <w:pPr>
        <w:ind w:firstLine="607"/>
        <w:rPr>
          <w:rFonts w:ascii="仿宋" w:hAnsi="仿宋" w:cs="仿宋"/>
        </w:rPr>
      </w:pPr>
      <w:r>
        <w:rPr>
          <w:rFonts w:ascii="仿宋" w:hAnsi="仿宋" w:cs="仿宋"/>
        </w:rPr>
        <w:t>第一阶段：前期准备阶段（6月11日-6月16日）</w:t>
      </w:r>
    </w:p>
    <w:p>
      <w:pPr>
        <w:ind w:firstLine="607"/>
        <w:rPr>
          <w:rFonts w:ascii="仿宋" w:hAnsi="仿宋" w:cs="仿宋"/>
        </w:rPr>
      </w:pPr>
      <w:r>
        <w:rPr>
          <w:rFonts w:ascii="仿宋" w:hAnsi="仿宋" w:cs="仿宋"/>
        </w:rPr>
        <w:t>主要包括了解评价项目的基本情况、进行评价设计、制定绩效评价实施方案。</w:t>
      </w:r>
    </w:p>
    <w:p>
      <w:pPr>
        <w:ind w:firstLine="607"/>
        <w:rPr>
          <w:rFonts w:ascii="仿宋" w:hAnsi="仿宋" w:cs="仿宋"/>
        </w:rPr>
      </w:pPr>
      <w:r>
        <w:rPr>
          <w:rFonts w:ascii="仿宋" w:hAnsi="仿宋" w:cs="仿宋"/>
        </w:rPr>
        <w:t>第二阶段：现场工作阶段（6月19日-7月14日）</w:t>
      </w:r>
    </w:p>
    <w:p>
      <w:pPr>
        <w:ind w:firstLine="607"/>
        <w:rPr>
          <w:rFonts w:ascii="仿宋" w:hAnsi="仿宋" w:cs="仿宋"/>
        </w:rPr>
      </w:pPr>
      <w:r>
        <w:rPr>
          <w:rFonts w:ascii="仿宋" w:hAnsi="仿宋" w:cs="仿宋"/>
        </w:rPr>
        <w:t>主要包括评价证据的收集与核实、现场访谈及考评。通过询问、查阅、核对、</w:t>
      </w:r>
      <w:r>
        <w:rPr>
          <w:rFonts w:hint="eastAsia" w:ascii="仿宋" w:hAnsi="仿宋" w:cs="仿宋"/>
          <w:lang w:val="en-US" w:eastAsia="zh-CN"/>
        </w:rPr>
        <w:t>勘察</w:t>
      </w:r>
      <w:r>
        <w:rPr>
          <w:rFonts w:ascii="仿宋" w:hAnsi="仿宋" w:cs="仿宋"/>
        </w:rPr>
        <w:t>、检查等方式进行调查，获取评价需要的基础资料。对需要进行现场评价的项目或部分内容，采取访谈、评审会、与服务对象沟通、抽样调查、发放问卷调查等形式完成现场考评工作。</w:t>
      </w:r>
    </w:p>
    <w:p>
      <w:pPr>
        <w:ind w:firstLine="607"/>
        <w:rPr>
          <w:rFonts w:ascii="仿宋" w:hAnsi="仿宋" w:cs="仿宋"/>
        </w:rPr>
      </w:pPr>
      <w:r>
        <w:rPr>
          <w:rFonts w:ascii="仿宋" w:hAnsi="仿宋" w:cs="仿宋"/>
        </w:rPr>
        <w:t>第三阶段：评价分析阶段（7月17日-7月28日）</w:t>
      </w:r>
    </w:p>
    <w:p>
      <w:pPr>
        <w:ind w:firstLine="607"/>
        <w:rPr>
          <w:rFonts w:ascii="仿宋" w:hAnsi="仿宋" w:cs="仿宋"/>
        </w:rPr>
      </w:pPr>
      <w:r>
        <w:rPr>
          <w:rFonts w:ascii="仿宋" w:hAnsi="仿宋" w:cs="仿宋"/>
        </w:rPr>
        <w:t>对评价所需的内部信息和外部资料进行系统的汇集及综合，形成评价数据和资料。按照评价工作方案确定的评价指标、评价标准和评价方法，根据评价基本数据，对评价对象的绩效情况进行全面的定量、定性分析和综合评价，形成评价初步结论，反馈给项目实施单位，并征求意见。</w:t>
      </w:r>
    </w:p>
    <w:p>
      <w:pPr>
        <w:ind w:firstLine="607"/>
        <w:rPr>
          <w:rFonts w:ascii="仿宋" w:hAnsi="仿宋" w:cs="仿宋"/>
        </w:rPr>
      </w:pPr>
      <w:r>
        <w:rPr>
          <w:rFonts w:ascii="仿宋" w:hAnsi="仿宋" w:cs="仿宋"/>
        </w:rPr>
        <w:t>第四阶段：撰写与提交报告阶段（7月31日-8月11日）</w:t>
      </w:r>
    </w:p>
    <w:p>
      <w:pPr>
        <w:ind w:firstLine="607"/>
        <w:rPr>
          <w:rFonts w:ascii="仿宋" w:hAnsi="仿宋" w:cs="仿宋"/>
        </w:rPr>
      </w:pPr>
      <w:r>
        <w:rPr>
          <w:rFonts w:ascii="仿宋" w:hAnsi="仿宋" w:cs="仿宋"/>
        </w:rPr>
        <w:t>对评价信息与分析资料进行汇集及处理，根据评价报告要求编写评价报告初稿提交县财政局；县财政局对评价报告初稿审核或组织专家评审并反馈意见，评价小组根据反馈意见修改、完善后形成正式评价报告并提交，同时将工作底稿归档、移交。</w:t>
      </w:r>
    </w:p>
    <w:p>
      <w:pPr>
        <w:pStyle w:val="4"/>
        <w:shd w:val="clear" w:fill="FFFFFF"/>
        <w:spacing w:before="0" w:after="0" w:line="560" w:lineRule="exact"/>
        <w:ind w:firstLine="610"/>
        <w:contextualSpacing/>
        <w:jc w:val="left"/>
        <w:rPr>
          <w:rFonts w:ascii="Times New Roman" w:hAnsi="Times New Roman" w:eastAsia="楷体" w:cs="Times New Roman"/>
        </w:rPr>
      </w:pPr>
      <w:bookmarkStart w:id="21" w:name="__RefHeading___Toc142235570"/>
      <w:bookmarkEnd w:id="21"/>
      <w:r>
        <w:rPr>
          <w:rFonts w:ascii="Times New Roman" w:hAnsi="Times New Roman" w:eastAsia="楷体" w:cs="Times New Roman"/>
        </w:rPr>
        <w:t>2.3绩效分析及评价结论</w:t>
      </w:r>
    </w:p>
    <w:p>
      <w:pPr>
        <w:pStyle w:val="5"/>
        <w:shd w:val="clear" w:fill="FFFFFF"/>
        <w:spacing w:before="0" w:after="0" w:line="560" w:lineRule="exact"/>
        <w:ind w:firstLine="610"/>
        <w:rPr>
          <w:rFonts w:eastAsia="楷体"/>
          <w:b w:val="0"/>
          <w:bCs w:val="0"/>
          <w:kern w:val="0"/>
        </w:rPr>
      </w:pPr>
      <w:bookmarkStart w:id="22" w:name="__RefHeading___Toc142235571"/>
      <w:bookmarkEnd w:id="22"/>
      <w:r>
        <w:rPr>
          <w:rFonts w:eastAsia="楷体"/>
          <w:kern w:val="0"/>
        </w:rPr>
        <w:t>2.3.1决策情况分析</w:t>
      </w:r>
    </w:p>
    <w:p>
      <w:pPr>
        <w:shd w:val="clear" w:fill="FFFFFF"/>
        <w:ind w:firstLine="607"/>
        <w:rPr>
          <w:rFonts w:ascii="仿宋" w:hAnsi="仿宋" w:cs="仿宋"/>
          <w:kern w:val="0"/>
        </w:rPr>
      </w:pPr>
      <w:r>
        <w:rPr>
          <w:rFonts w:ascii="仿宋" w:hAnsi="仿宋" w:cs="仿宋"/>
          <w:kern w:val="0"/>
        </w:rPr>
        <w:t>决策指标从项目立项、前期工作、绩效目标、资金投入四个方面对项目进行考察，决策指标分值共计20分，本项目实际得分18分，得分率为90%。各指标的实际得分情况详见表2.3。</w:t>
      </w:r>
    </w:p>
    <w:p>
      <w:pPr>
        <w:shd w:val="clear" w:fill="FFFFFF"/>
        <w:ind w:firstLine="607"/>
        <w:jc w:val="center"/>
        <w:rPr>
          <w:rFonts w:ascii="仿宋" w:hAnsi="仿宋" w:cs="仿宋"/>
          <w:kern w:val="0"/>
        </w:rPr>
      </w:pPr>
      <w:r>
        <w:rPr>
          <w:rFonts w:ascii="仿宋" w:hAnsi="仿宋" w:cs="仿宋"/>
          <w:kern w:val="0"/>
        </w:rPr>
        <w:t>表2.3 决策指标得分情况</w:t>
      </w:r>
    </w:p>
    <w:tbl>
      <w:tblPr>
        <w:tblStyle w:val="19"/>
        <w:tblW w:w="8699" w:type="dxa"/>
        <w:tblInd w:w="0" w:type="dxa"/>
        <w:tblLayout w:type="fixed"/>
        <w:tblCellMar>
          <w:top w:w="0" w:type="dxa"/>
          <w:left w:w="108" w:type="dxa"/>
          <w:bottom w:w="0" w:type="dxa"/>
          <w:right w:w="108" w:type="dxa"/>
        </w:tblCellMar>
      </w:tblPr>
      <w:tblGrid>
        <w:gridCol w:w="1852"/>
        <w:gridCol w:w="3730"/>
        <w:gridCol w:w="873"/>
        <w:gridCol w:w="893"/>
        <w:gridCol w:w="1351"/>
      </w:tblGrid>
      <w:tr>
        <w:tblPrEx>
          <w:tblLayout w:type="fixed"/>
          <w:tblCellMar>
            <w:top w:w="0" w:type="dxa"/>
            <w:left w:w="108" w:type="dxa"/>
            <w:bottom w:w="0" w:type="dxa"/>
            <w:right w:w="108" w:type="dxa"/>
          </w:tblCellMar>
        </w:tblPrEx>
        <w:trPr>
          <w:trHeight w:val="454" w:hRule="atLeast"/>
        </w:trPr>
        <w:tc>
          <w:tcPr>
            <w:tcW w:w="18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b/>
                <w:bCs/>
                <w:sz w:val="24"/>
                <w:szCs w:val="24"/>
              </w:rPr>
            </w:pPr>
            <w:r>
              <w:rPr>
                <w:b/>
                <w:bCs/>
                <w:kern w:val="0"/>
                <w:sz w:val="24"/>
                <w:szCs w:val="24"/>
                <w:lang w:bidi="ar"/>
              </w:rPr>
              <w:t>二级指标</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b/>
                <w:bCs/>
                <w:sz w:val="24"/>
                <w:szCs w:val="24"/>
              </w:rPr>
            </w:pPr>
            <w:r>
              <w:rPr>
                <w:b/>
                <w:bCs/>
                <w:kern w:val="0"/>
                <w:sz w:val="24"/>
                <w:szCs w:val="24"/>
                <w:lang w:bidi="ar"/>
              </w:rPr>
              <w:t>三级指标</w:t>
            </w:r>
          </w:p>
        </w:tc>
        <w:tc>
          <w:tcPr>
            <w:tcW w:w="873" w:type="dxa"/>
            <w:tcBorders>
              <w:top w:val="single" w:color="000000" w:sz="4" w:space="0"/>
              <w:left w:val="single" w:color="000000" w:sz="4" w:space="0"/>
              <w:bottom w:val="single" w:color="000000" w:sz="4" w:space="0"/>
            </w:tcBorders>
            <w:shd w:val="clear" w:color="auto" w:fill="FFFFFF"/>
            <w:vAlign w:val="center"/>
          </w:tcPr>
          <w:p>
            <w:pPr>
              <w:widowControl/>
              <w:spacing w:line="300" w:lineRule="exact"/>
              <w:ind w:firstLine="0"/>
              <w:jc w:val="center"/>
              <w:textAlignment w:val="center"/>
              <w:rPr>
                <w:b/>
                <w:bCs/>
                <w:sz w:val="24"/>
                <w:szCs w:val="24"/>
              </w:rPr>
            </w:pPr>
            <w:r>
              <w:rPr>
                <w:b/>
                <w:bCs/>
                <w:kern w:val="0"/>
                <w:sz w:val="24"/>
                <w:szCs w:val="24"/>
                <w:lang w:bidi="ar"/>
              </w:rPr>
              <w:t>分值</w:t>
            </w:r>
          </w:p>
        </w:tc>
        <w:tc>
          <w:tcPr>
            <w:tcW w:w="8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b/>
                <w:bCs/>
                <w:sz w:val="24"/>
                <w:szCs w:val="24"/>
              </w:rPr>
            </w:pPr>
            <w:r>
              <w:rPr>
                <w:b/>
                <w:bCs/>
                <w:kern w:val="0"/>
                <w:sz w:val="24"/>
                <w:szCs w:val="24"/>
                <w:lang w:bidi="ar"/>
              </w:rPr>
              <w:t>评分</w:t>
            </w:r>
          </w:p>
        </w:tc>
        <w:tc>
          <w:tcPr>
            <w:tcW w:w="13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b/>
                <w:bCs/>
                <w:sz w:val="24"/>
                <w:szCs w:val="24"/>
              </w:rPr>
            </w:pPr>
            <w:r>
              <w:rPr>
                <w:b/>
                <w:bCs/>
                <w:kern w:val="0"/>
                <w:sz w:val="24"/>
                <w:szCs w:val="24"/>
                <w:lang w:bidi="ar"/>
              </w:rPr>
              <w:t>得分率</w:t>
            </w:r>
          </w:p>
        </w:tc>
      </w:tr>
      <w:tr>
        <w:tblPrEx>
          <w:tblLayout w:type="fixed"/>
          <w:tblCellMar>
            <w:top w:w="0" w:type="dxa"/>
            <w:left w:w="108" w:type="dxa"/>
            <w:bottom w:w="0" w:type="dxa"/>
            <w:right w:w="108" w:type="dxa"/>
          </w:tblCellMar>
        </w:tblPrEx>
        <w:trPr>
          <w:trHeight w:val="454" w:hRule="atLeast"/>
        </w:trPr>
        <w:tc>
          <w:tcPr>
            <w:tcW w:w="18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sz w:val="24"/>
                <w:szCs w:val="24"/>
              </w:rPr>
            </w:pPr>
            <w:r>
              <w:rPr>
                <w:kern w:val="0"/>
                <w:sz w:val="24"/>
                <w:szCs w:val="24"/>
                <w:lang w:bidi="ar"/>
              </w:rPr>
              <w:t>项目立项</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left"/>
              <w:textAlignment w:val="center"/>
              <w:rPr>
                <w:kern w:val="0"/>
                <w:sz w:val="24"/>
                <w:szCs w:val="24"/>
                <w:lang w:bidi="ar"/>
              </w:rPr>
            </w:pPr>
            <w:r>
              <w:rPr>
                <w:kern w:val="0"/>
                <w:sz w:val="24"/>
                <w:szCs w:val="24"/>
                <w:lang w:bidi="ar"/>
              </w:rPr>
              <w:t>立项依据充分性</w:t>
            </w:r>
          </w:p>
        </w:tc>
        <w:tc>
          <w:tcPr>
            <w:tcW w:w="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kern w:val="0"/>
                <w:sz w:val="24"/>
                <w:szCs w:val="24"/>
                <w:lang w:bidi="ar"/>
              </w:rPr>
            </w:pPr>
            <w:r>
              <w:rPr>
                <w:kern w:val="0"/>
                <w:sz w:val="24"/>
                <w:szCs w:val="24"/>
                <w:lang w:bidi="ar"/>
              </w:rPr>
              <w:t>3</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kern w:val="0"/>
                <w:sz w:val="24"/>
                <w:szCs w:val="24"/>
                <w:lang w:bidi="ar"/>
              </w:rPr>
            </w:pPr>
            <w:r>
              <w:rPr>
                <w:kern w:val="0"/>
                <w:sz w:val="24"/>
                <w:szCs w:val="24"/>
                <w:lang w:bidi="ar"/>
              </w:rPr>
              <w:t>3</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sz w:val="24"/>
                <w:szCs w:val="24"/>
              </w:rPr>
            </w:pPr>
            <w:r>
              <w:rPr>
                <w:kern w:val="0"/>
                <w:sz w:val="24"/>
                <w:szCs w:val="24"/>
                <w:lang w:bidi="ar"/>
              </w:rPr>
              <w:t>100.00%</w:t>
            </w:r>
          </w:p>
        </w:tc>
      </w:tr>
      <w:tr>
        <w:tblPrEx>
          <w:tblLayout w:type="fixed"/>
          <w:tblCellMar>
            <w:top w:w="0" w:type="dxa"/>
            <w:left w:w="108" w:type="dxa"/>
            <w:bottom w:w="0" w:type="dxa"/>
            <w:right w:w="108" w:type="dxa"/>
          </w:tblCellMar>
        </w:tblPrEx>
        <w:trPr>
          <w:trHeight w:val="454"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300" w:lineRule="exact"/>
              <w:ind w:firstLine="447"/>
              <w:rPr>
                <w:sz w:val="24"/>
                <w:szCs w:val="24"/>
              </w:rPr>
            </w:pP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left"/>
              <w:textAlignment w:val="center"/>
              <w:rPr>
                <w:kern w:val="0"/>
                <w:sz w:val="24"/>
                <w:szCs w:val="24"/>
                <w:lang w:bidi="ar"/>
              </w:rPr>
            </w:pPr>
            <w:r>
              <w:rPr>
                <w:kern w:val="0"/>
                <w:sz w:val="24"/>
                <w:szCs w:val="24"/>
                <w:lang w:bidi="ar"/>
              </w:rPr>
              <w:t>立项程序规范性</w:t>
            </w:r>
          </w:p>
        </w:tc>
        <w:tc>
          <w:tcPr>
            <w:tcW w:w="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kern w:val="0"/>
                <w:sz w:val="24"/>
                <w:szCs w:val="24"/>
                <w:lang w:bidi="ar"/>
              </w:rPr>
            </w:pPr>
            <w:r>
              <w:rPr>
                <w:kern w:val="0"/>
                <w:sz w:val="24"/>
                <w:szCs w:val="24"/>
                <w:lang w:bidi="ar"/>
              </w:rPr>
              <w:t>3</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kern w:val="0"/>
                <w:sz w:val="24"/>
                <w:szCs w:val="24"/>
                <w:lang w:bidi="ar"/>
              </w:rPr>
            </w:pPr>
            <w:r>
              <w:rPr>
                <w:kern w:val="0"/>
                <w:sz w:val="24"/>
                <w:szCs w:val="24"/>
                <w:lang w:bidi="ar"/>
              </w:rPr>
              <w:t>3</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sz w:val="24"/>
                <w:szCs w:val="24"/>
              </w:rPr>
            </w:pPr>
            <w:r>
              <w:rPr>
                <w:kern w:val="0"/>
                <w:sz w:val="24"/>
                <w:szCs w:val="24"/>
                <w:lang w:bidi="ar"/>
              </w:rPr>
              <w:t>100.00%</w:t>
            </w:r>
          </w:p>
        </w:tc>
      </w:tr>
      <w:tr>
        <w:tblPrEx>
          <w:tblLayout w:type="fixed"/>
          <w:tblCellMar>
            <w:top w:w="0" w:type="dxa"/>
            <w:left w:w="108" w:type="dxa"/>
            <w:bottom w:w="0" w:type="dxa"/>
            <w:right w:w="108" w:type="dxa"/>
          </w:tblCellMar>
        </w:tblPrEx>
        <w:trPr>
          <w:trHeight w:val="454" w:hRule="atLeast"/>
        </w:trPr>
        <w:tc>
          <w:tcPr>
            <w:tcW w:w="18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sz w:val="24"/>
                <w:szCs w:val="24"/>
              </w:rPr>
            </w:pPr>
            <w:r>
              <w:rPr>
                <w:kern w:val="0"/>
                <w:sz w:val="24"/>
                <w:szCs w:val="24"/>
                <w:lang w:bidi="ar"/>
              </w:rPr>
              <w:t>绩效目标</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left"/>
              <w:textAlignment w:val="center"/>
              <w:rPr>
                <w:kern w:val="0"/>
                <w:sz w:val="24"/>
                <w:szCs w:val="24"/>
                <w:lang w:bidi="ar"/>
              </w:rPr>
            </w:pPr>
            <w:r>
              <w:rPr>
                <w:kern w:val="0"/>
                <w:sz w:val="24"/>
                <w:szCs w:val="24"/>
                <w:lang w:bidi="ar"/>
              </w:rPr>
              <w:t>绩效目标合理性</w:t>
            </w:r>
          </w:p>
        </w:tc>
        <w:tc>
          <w:tcPr>
            <w:tcW w:w="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kern w:val="0"/>
                <w:sz w:val="24"/>
                <w:szCs w:val="24"/>
                <w:lang w:bidi="ar"/>
              </w:rPr>
            </w:pPr>
            <w:r>
              <w:rPr>
                <w:kern w:val="0"/>
                <w:sz w:val="24"/>
                <w:szCs w:val="24"/>
                <w:lang w:bidi="ar"/>
              </w:rPr>
              <w:t>4</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kern w:val="0"/>
                <w:sz w:val="24"/>
                <w:szCs w:val="24"/>
                <w:lang w:bidi="ar"/>
              </w:rPr>
            </w:pPr>
            <w:r>
              <w:rPr>
                <w:kern w:val="0"/>
                <w:sz w:val="24"/>
                <w:szCs w:val="24"/>
                <w:lang w:bidi="ar"/>
              </w:rPr>
              <w:t>4</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sz w:val="24"/>
                <w:szCs w:val="24"/>
              </w:rPr>
            </w:pPr>
            <w:r>
              <w:rPr>
                <w:kern w:val="0"/>
                <w:sz w:val="24"/>
                <w:szCs w:val="24"/>
                <w:lang w:bidi="ar"/>
              </w:rPr>
              <w:t>100.00%</w:t>
            </w:r>
          </w:p>
        </w:tc>
      </w:tr>
      <w:tr>
        <w:tblPrEx>
          <w:tblLayout w:type="fixed"/>
          <w:tblCellMar>
            <w:top w:w="0" w:type="dxa"/>
            <w:left w:w="108" w:type="dxa"/>
            <w:bottom w:w="0" w:type="dxa"/>
            <w:right w:w="108" w:type="dxa"/>
          </w:tblCellMar>
        </w:tblPrEx>
        <w:trPr>
          <w:trHeight w:val="454"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300" w:lineRule="exact"/>
              <w:ind w:firstLine="447"/>
              <w:jc w:val="center"/>
              <w:rPr>
                <w:sz w:val="24"/>
                <w:szCs w:val="24"/>
              </w:rPr>
            </w:pP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left"/>
              <w:textAlignment w:val="center"/>
              <w:rPr>
                <w:kern w:val="0"/>
                <w:sz w:val="24"/>
                <w:szCs w:val="24"/>
                <w:lang w:bidi="ar"/>
              </w:rPr>
            </w:pPr>
            <w:r>
              <w:rPr>
                <w:kern w:val="0"/>
                <w:sz w:val="24"/>
                <w:szCs w:val="24"/>
                <w:lang w:bidi="ar"/>
              </w:rPr>
              <w:t>绩效指标明确性</w:t>
            </w:r>
          </w:p>
        </w:tc>
        <w:tc>
          <w:tcPr>
            <w:tcW w:w="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kern w:val="0"/>
                <w:sz w:val="24"/>
                <w:szCs w:val="24"/>
                <w:lang w:bidi="ar"/>
              </w:rPr>
            </w:pPr>
            <w:r>
              <w:rPr>
                <w:kern w:val="0"/>
                <w:sz w:val="24"/>
                <w:szCs w:val="24"/>
                <w:lang w:bidi="ar"/>
              </w:rPr>
              <w:t>4</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kern w:val="0"/>
                <w:sz w:val="24"/>
                <w:szCs w:val="24"/>
                <w:lang w:bidi="ar"/>
              </w:rPr>
            </w:pPr>
            <w:r>
              <w:rPr>
                <w:kern w:val="0"/>
                <w:sz w:val="24"/>
                <w:szCs w:val="24"/>
                <w:lang w:bidi="ar"/>
              </w:rPr>
              <w:t>2</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sz w:val="24"/>
                <w:szCs w:val="24"/>
              </w:rPr>
            </w:pPr>
            <w:r>
              <w:rPr>
                <w:kern w:val="0"/>
                <w:sz w:val="24"/>
                <w:szCs w:val="24"/>
                <w:lang w:bidi="ar"/>
              </w:rPr>
              <w:t>50.00%</w:t>
            </w:r>
          </w:p>
        </w:tc>
      </w:tr>
      <w:tr>
        <w:tblPrEx>
          <w:tblLayout w:type="fixed"/>
          <w:tblCellMar>
            <w:top w:w="0" w:type="dxa"/>
            <w:left w:w="108" w:type="dxa"/>
            <w:bottom w:w="0" w:type="dxa"/>
            <w:right w:w="108" w:type="dxa"/>
          </w:tblCellMar>
        </w:tblPrEx>
        <w:trPr>
          <w:trHeight w:val="454" w:hRule="atLeast"/>
        </w:trPr>
        <w:tc>
          <w:tcPr>
            <w:tcW w:w="1852" w:type="dxa"/>
            <w:vMerge w:val="restart"/>
            <w:tcBorders>
              <w:top w:val="single" w:color="000000" w:sz="4" w:space="0"/>
              <w:left w:val="single" w:color="000000" w:sz="4" w:space="0"/>
              <w:right w:val="single" w:color="000000" w:sz="4" w:space="0"/>
            </w:tcBorders>
            <w:shd w:val="clear" w:color="auto" w:fill="FFFFFF"/>
            <w:vAlign w:val="center"/>
          </w:tcPr>
          <w:p>
            <w:pPr>
              <w:widowControl/>
              <w:spacing w:line="300" w:lineRule="exact"/>
              <w:ind w:firstLine="0"/>
              <w:jc w:val="center"/>
              <w:textAlignment w:val="center"/>
              <w:rPr>
                <w:sz w:val="24"/>
                <w:szCs w:val="24"/>
              </w:rPr>
            </w:pPr>
            <w:r>
              <w:rPr>
                <w:kern w:val="0"/>
                <w:sz w:val="24"/>
                <w:szCs w:val="24"/>
                <w:lang w:bidi="ar"/>
              </w:rPr>
              <w:t>债券资金投入</w:t>
            </w:r>
          </w:p>
        </w:tc>
        <w:tc>
          <w:tcPr>
            <w:tcW w:w="3730" w:type="dxa"/>
            <w:tcBorders>
              <w:top w:val="single" w:color="000000" w:sz="4" w:space="0"/>
              <w:left w:val="single" w:color="000000" w:sz="4" w:space="0"/>
              <w:right w:val="single" w:color="000000" w:sz="4" w:space="0"/>
            </w:tcBorders>
            <w:vAlign w:val="center"/>
          </w:tcPr>
          <w:p>
            <w:pPr>
              <w:widowControl/>
              <w:spacing w:line="300" w:lineRule="exact"/>
              <w:ind w:firstLine="0"/>
              <w:jc w:val="left"/>
              <w:textAlignment w:val="center"/>
              <w:rPr>
                <w:kern w:val="0"/>
                <w:sz w:val="24"/>
                <w:szCs w:val="24"/>
                <w:lang w:bidi="ar"/>
              </w:rPr>
            </w:pPr>
            <w:r>
              <w:rPr>
                <w:kern w:val="0"/>
                <w:sz w:val="24"/>
                <w:szCs w:val="24"/>
                <w:lang w:bidi="ar"/>
              </w:rPr>
              <w:t>债券资金申请程序的规范性</w:t>
            </w:r>
          </w:p>
        </w:tc>
        <w:tc>
          <w:tcPr>
            <w:tcW w:w="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kern w:val="0"/>
                <w:sz w:val="24"/>
                <w:szCs w:val="24"/>
                <w:lang w:bidi="ar"/>
              </w:rPr>
            </w:pPr>
            <w:r>
              <w:rPr>
                <w:kern w:val="0"/>
                <w:sz w:val="24"/>
                <w:szCs w:val="24"/>
                <w:lang w:bidi="ar"/>
              </w:rPr>
              <w:t>3</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kern w:val="0"/>
                <w:sz w:val="24"/>
                <w:szCs w:val="24"/>
                <w:lang w:bidi="ar"/>
              </w:rPr>
            </w:pPr>
            <w:r>
              <w:rPr>
                <w:kern w:val="0"/>
                <w:sz w:val="24"/>
                <w:szCs w:val="24"/>
                <w:lang w:bidi="ar"/>
              </w:rPr>
              <w:t>3</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sz w:val="24"/>
                <w:szCs w:val="24"/>
              </w:rPr>
            </w:pPr>
            <w:r>
              <w:rPr>
                <w:kern w:val="0"/>
                <w:sz w:val="24"/>
                <w:szCs w:val="24"/>
                <w:lang w:bidi="ar"/>
              </w:rPr>
              <w:t>100.00%</w:t>
            </w:r>
          </w:p>
        </w:tc>
      </w:tr>
      <w:tr>
        <w:tblPrEx>
          <w:tblLayout w:type="fixed"/>
          <w:tblCellMar>
            <w:top w:w="0" w:type="dxa"/>
            <w:left w:w="108" w:type="dxa"/>
            <w:bottom w:w="0" w:type="dxa"/>
            <w:right w:w="108" w:type="dxa"/>
          </w:tblCellMar>
        </w:tblPrEx>
        <w:trPr>
          <w:trHeight w:val="454" w:hRule="atLeast"/>
        </w:trPr>
        <w:tc>
          <w:tcPr>
            <w:tcW w:w="1852" w:type="dxa"/>
            <w:vMerge w:val="continue"/>
            <w:tcBorders>
              <w:top w:val="single" w:color="000000" w:sz="4" w:space="0"/>
              <w:left w:val="single" w:color="000000" w:sz="4" w:space="0"/>
              <w:right w:val="single" w:color="000000" w:sz="4" w:space="0"/>
            </w:tcBorders>
            <w:shd w:val="clear" w:color="auto" w:fill="FFFFFF"/>
            <w:vAlign w:val="center"/>
          </w:tcPr>
          <w:p>
            <w:pPr>
              <w:widowControl/>
              <w:snapToGrid w:val="0"/>
              <w:spacing w:line="300" w:lineRule="exact"/>
              <w:ind w:firstLine="0"/>
              <w:jc w:val="center"/>
              <w:textAlignment w:val="center"/>
              <w:rPr>
                <w:kern w:val="0"/>
                <w:sz w:val="24"/>
                <w:szCs w:val="24"/>
                <w:lang w:bidi="ar"/>
              </w:rPr>
            </w:pPr>
          </w:p>
        </w:tc>
        <w:tc>
          <w:tcPr>
            <w:tcW w:w="3730" w:type="dxa"/>
            <w:tcBorders>
              <w:top w:val="single" w:color="000000" w:sz="4" w:space="0"/>
              <w:left w:val="single" w:color="000000" w:sz="4" w:space="0"/>
              <w:right w:val="single" w:color="000000" w:sz="4" w:space="0"/>
            </w:tcBorders>
            <w:vAlign w:val="center"/>
          </w:tcPr>
          <w:p>
            <w:pPr>
              <w:widowControl/>
              <w:spacing w:line="300" w:lineRule="exact"/>
              <w:ind w:firstLine="0"/>
              <w:jc w:val="left"/>
              <w:textAlignment w:val="center"/>
              <w:rPr>
                <w:kern w:val="0"/>
                <w:sz w:val="24"/>
                <w:szCs w:val="24"/>
                <w:lang w:bidi="ar"/>
              </w:rPr>
            </w:pPr>
            <w:r>
              <w:rPr>
                <w:kern w:val="0"/>
                <w:sz w:val="24"/>
                <w:szCs w:val="24"/>
                <w:lang w:bidi="ar"/>
              </w:rPr>
              <w:t>申债额度科学性</w:t>
            </w:r>
          </w:p>
        </w:tc>
        <w:tc>
          <w:tcPr>
            <w:tcW w:w="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kern w:val="0"/>
                <w:sz w:val="24"/>
                <w:szCs w:val="24"/>
                <w:lang w:bidi="ar"/>
              </w:rPr>
            </w:pPr>
            <w:r>
              <w:rPr>
                <w:kern w:val="0"/>
                <w:sz w:val="24"/>
                <w:szCs w:val="24"/>
                <w:lang w:bidi="ar"/>
              </w:rPr>
              <w:t>3</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kern w:val="0"/>
                <w:sz w:val="24"/>
                <w:szCs w:val="24"/>
                <w:lang w:bidi="ar"/>
              </w:rPr>
            </w:pPr>
            <w:r>
              <w:rPr>
                <w:kern w:val="0"/>
                <w:sz w:val="24"/>
                <w:szCs w:val="24"/>
                <w:lang w:bidi="ar"/>
              </w:rPr>
              <w:t>3</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sz w:val="24"/>
                <w:szCs w:val="24"/>
              </w:rPr>
            </w:pPr>
            <w:r>
              <w:rPr>
                <w:kern w:val="0"/>
                <w:sz w:val="24"/>
                <w:szCs w:val="24"/>
                <w:lang w:bidi="ar"/>
              </w:rPr>
              <w:t>100.00%</w:t>
            </w:r>
          </w:p>
        </w:tc>
      </w:tr>
      <w:tr>
        <w:tblPrEx>
          <w:tblLayout w:type="fixed"/>
          <w:tblCellMar>
            <w:top w:w="0" w:type="dxa"/>
            <w:left w:w="108" w:type="dxa"/>
            <w:bottom w:w="0" w:type="dxa"/>
            <w:right w:w="108" w:type="dxa"/>
          </w:tblCellMar>
        </w:tblPrEx>
        <w:trPr>
          <w:trHeight w:val="454" w:hRule="atLeast"/>
        </w:trPr>
        <w:tc>
          <w:tcPr>
            <w:tcW w:w="558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449"/>
              <w:textAlignment w:val="center"/>
              <w:rPr>
                <w:b/>
                <w:bCs/>
                <w:sz w:val="24"/>
                <w:szCs w:val="24"/>
              </w:rPr>
            </w:pPr>
            <w:r>
              <w:rPr>
                <w:b/>
                <w:bCs/>
                <w:kern w:val="0"/>
                <w:sz w:val="24"/>
                <w:szCs w:val="24"/>
                <w:lang w:bidi="ar"/>
              </w:rPr>
              <w:t>合计</w:t>
            </w:r>
          </w:p>
        </w:tc>
        <w:tc>
          <w:tcPr>
            <w:tcW w:w="873" w:type="dxa"/>
            <w:tcBorders>
              <w:top w:val="single" w:color="000000" w:sz="4" w:space="0"/>
              <w:left w:val="single" w:color="000000" w:sz="4" w:space="0"/>
              <w:bottom w:val="single" w:color="000000" w:sz="4" w:space="0"/>
            </w:tcBorders>
            <w:shd w:val="clear" w:color="auto" w:fill="FFFFFF"/>
            <w:vAlign w:val="center"/>
          </w:tcPr>
          <w:p>
            <w:pPr>
              <w:widowControl/>
              <w:spacing w:line="300" w:lineRule="exact"/>
              <w:ind w:firstLine="0"/>
              <w:jc w:val="center"/>
              <w:textAlignment w:val="center"/>
              <w:rPr>
                <w:b/>
                <w:bCs/>
                <w:sz w:val="24"/>
                <w:szCs w:val="24"/>
              </w:rPr>
            </w:pPr>
            <w:r>
              <w:rPr>
                <w:b/>
                <w:bCs/>
                <w:kern w:val="0"/>
                <w:sz w:val="24"/>
                <w:szCs w:val="24"/>
                <w:lang w:bidi="ar"/>
              </w:rPr>
              <w:t>20</w:t>
            </w:r>
          </w:p>
        </w:tc>
        <w:tc>
          <w:tcPr>
            <w:tcW w:w="893" w:type="dxa"/>
            <w:tcBorders>
              <w:top w:val="single" w:color="000000" w:sz="4" w:space="0"/>
              <w:left w:val="single" w:color="000000" w:sz="4" w:space="0"/>
              <w:bottom w:val="single" w:color="000000" w:sz="4" w:space="0"/>
            </w:tcBorders>
            <w:shd w:val="clear" w:color="auto" w:fill="FFFFFF"/>
            <w:vAlign w:val="center"/>
          </w:tcPr>
          <w:p>
            <w:pPr>
              <w:widowControl/>
              <w:spacing w:line="300" w:lineRule="exact"/>
              <w:ind w:firstLine="0"/>
              <w:jc w:val="center"/>
              <w:textAlignment w:val="center"/>
              <w:rPr>
                <w:b/>
                <w:bCs/>
                <w:sz w:val="24"/>
                <w:szCs w:val="24"/>
              </w:rPr>
            </w:pPr>
            <w:r>
              <w:rPr>
                <w:b/>
                <w:bCs/>
                <w:sz w:val="24"/>
                <w:szCs w:val="24"/>
              </w:rPr>
              <w:t>18</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b/>
                <w:bCs/>
                <w:sz w:val="24"/>
                <w:szCs w:val="24"/>
              </w:rPr>
            </w:pPr>
            <w:r>
              <w:rPr>
                <w:b/>
                <w:bCs/>
                <w:kern w:val="0"/>
                <w:sz w:val="24"/>
                <w:szCs w:val="24"/>
                <w:lang w:bidi="ar"/>
              </w:rPr>
              <w:t>90.00%</w:t>
            </w:r>
          </w:p>
        </w:tc>
      </w:tr>
    </w:tbl>
    <w:p>
      <w:pPr>
        <w:shd w:val="clear" w:fill="FFFFFF"/>
        <w:ind w:firstLine="610"/>
        <w:rPr>
          <w:rFonts w:ascii="仿宋" w:hAnsi="仿宋" w:cs="仿宋"/>
        </w:rPr>
      </w:pPr>
      <w:r>
        <w:rPr>
          <w:b/>
          <w:bCs/>
          <w:kern w:val="0"/>
        </w:rPr>
        <w:t>立项依据充分性：</w:t>
      </w:r>
      <w:r>
        <w:t>项目立项符合崇阳县应急管理局事业发展</w:t>
      </w:r>
      <w:r>
        <w:rPr>
          <w:rFonts w:hint="eastAsia"/>
          <w:lang w:eastAsia="zh-CN"/>
        </w:rPr>
        <w:t>“</w:t>
      </w:r>
      <w:r>
        <w:t>十</w:t>
      </w:r>
      <w:r>
        <w:rPr>
          <w:rFonts w:ascii="仿宋" w:hAnsi="仿宋" w:cs="仿宋"/>
        </w:rPr>
        <w:t>四五</w:t>
      </w:r>
      <w:r>
        <w:rPr>
          <w:rFonts w:hint="eastAsia" w:ascii="仿宋" w:hAnsi="仿宋" w:cs="仿宋"/>
          <w:lang w:eastAsia="zh-CN"/>
        </w:rPr>
        <w:t>”</w:t>
      </w:r>
      <w:r>
        <w:rPr>
          <w:rFonts w:ascii="仿宋" w:hAnsi="仿宋" w:cs="仿宋"/>
        </w:rPr>
        <w:t>规划；与崇阳县应急管理局职责范围相符，属于部门履职所需；属于公共财政</w:t>
      </w:r>
      <w:r>
        <w:rPr>
          <w:rFonts w:hint="eastAsia" w:ascii="仿宋" w:hAnsi="仿宋" w:cs="仿宋"/>
          <w:lang w:val="en-US" w:eastAsia="zh-CN"/>
        </w:rPr>
        <w:t>支出</w:t>
      </w:r>
      <w:r>
        <w:rPr>
          <w:rFonts w:ascii="仿宋" w:hAnsi="仿宋" w:cs="仿宋"/>
        </w:rPr>
        <w:t>范围，符合中央、地方事权支出责任划分原则；本项目投向领域为社会公益事业领域，符合财政部、国家</w:t>
      </w:r>
      <w:r>
        <w:rPr>
          <w:rFonts w:hint="eastAsia" w:ascii="仿宋" w:hAnsi="仿宋" w:cs="仿宋"/>
          <w:lang w:val="en-US" w:eastAsia="zh-CN"/>
        </w:rPr>
        <w:t>发展和改革委员会</w:t>
      </w:r>
      <w:r>
        <w:rPr>
          <w:rFonts w:ascii="仿宋" w:hAnsi="仿宋" w:cs="仿宋"/>
        </w:rPr>
        <w:t>明确的债券支持领域和方向。</w:t>
      </w:r>
    </w:p>
    <w:p>
      <w:pPr>
        <w:shd w:val="clear" w:fill="FFFFFF"/>
        <w:ind w:firstLine="610"/>
        <w:rPr>
          <w:rFonts w:ascii="仿宋" w:hAnsi="仿宋" w:cs="仿宋"/>
          <w:kern w:val="0"/>
        </w:rPr>
      </w:pPr>
      <w:r>
        <w:rPr>
          <w:rFonts w:ascii="仿宋" w:hAnsi="仿宋" w:cs="仿宋"/>
          <w:b/>
          <w:bCs/>
          <w:kern w:val="0"/>
        </w:rPr>
        <w:t>立项程序规范性：</w:t>
      </w:r>
      <w:r>
        <w:rPr>
          <w:rFonts w:ascii="仿宋" w:hAnsi="仿宋" w:cs="仿宋"/>
          <w:kern w:val="0"/>
        </w:rPr>
        <w:t>项目单位按要求填报了项目申报书、前期开展有项目可行性研究分析及事前绩效评估，本项目建议书、可行性研究报告和项目初步设计报经崇阳县发展和改革局批复，项目申请、设立过程符合相关要求。</w:t>
      </w:r>
    </w:p>
    <w:p>
      <w:pPr>
        <w:shd w:val="clear" w:fill="FFFFFF"/>
        <w:ind w:firstLine="610"/>
        <w:rPr>
          <w:rFonts w:cs="仿宋"/>
          <w:kern w:val="0"/>
          <w:sz w:val="20"/>
          <w:szCs w:val="20"/>
          <w:lang w:bidi="ar"/>
        </w:rPr>
      </w:pPr>
      <w:r>
        <w:rPr>
          <w:rFonts w:ascii="仿宋" w:hAnsi="仿宋" w:cs="仿宋"/>
          <w:b/>
          <w:bCs/>
          <w:kern w:val="0"/>
        </w:rPr>
        <w:t>绩效目标合理性：</w:t>
      </w:r>
      <w:r>
        <w:rPr>
          <w:rFonts w:ascii="仿宋" w:hAnsi="仿宋" w:cs="仿宋"/>
          <w:kern w:val="0"/>
        </w:rPr>
        <w:t>本项目编制了长期和年度绩效目标，项目绩效目标与实际工作内容具有相关性，项目预期产出效益和效果符合正常的业绩水平，与预算确定的项目投资额或资金量相匹配。</w:t>
      </w:r>
    </w:p>
    <w:p>
      <w:pPr>
        <w:shd w:val="clear" w:fill="FFFFFF"/>
        <w:ind w:firstLine="610"/>
        <w:rPr>
          <w:rFonts w:ascii="仿宋" w:hAnsi="仿宋" w:cs="仿宋"/>
          <w:kern w:val="0"/>
        </w:rPr>
      </w:pPr>
      <w:r>
        <w:rPr>
          <w:rFonts w:ascii="仿宋" w:hAnsi="仿宋" w:cs="仿宋"/>
          <w:b/>
          <w:bCs/>
          <w:kern w:val="0"/>
        </w:rPr>
        <w:t>绩效指标明确性：</w:t>
      </w:r>
      <w:r>
        <w:rPr>
          <w:rFonts w:ascii="仿宋" w:hAnsi="仿宋" w:cs="仿宋"/>
          <w:kern w:val="0"/>
        </w:rPr>
        <w:t>本项目绩效目标已细化分解为具体的绩效指标；本指标扣2分，因为绩效指标设置不合理。比如设置长期绩效指标和年度绩效指标不对应；年度绩效指标的三级明细指标列入了二级指标属性中，将三级指标写成了具体的指标值；满意度指标没有设置具体的三级指标，只有指标值等等。</w:t>
      </w:r>
    </w:p>
    <w:p>
      <w:pPr>
        <w:shd w:val="clear" w:fill="FFFFFF"/>
        <w:ind w:firstLine="610"/>
        <w:rPr>
          <w:rFonts w:ascii="仿宋" w:hAnsi="仿宋" w:cs="仿宋"/>
          <w:b/>
          <w:bCs/>
          <w:kern w:val="0"/>
        </w:rPr>
      </w:pPr>
      <w:r>
        <w:rPr>
          <w:rFonts w:ascii="仿宋" w:hAnsi="仿宋" w:cs="仿宋"/>
          <w:b/>
          <w:bCs/>
          <w:kern w:val="0"/>
        </w:rPr>
        <w:t>债券资金申请程序的规范性：</w:t>
      </w:r>
      <w:r>
        <w:rPr>
          <w:rFonts w:ascii="仿宋" w:hAnsi="仿宋" w:cs="仿宋"/>
          <w:kern w:val="0"/>
        </w:rPr>
        <w:t>本项目资金来源有2,000万一般债券，编制有债券实施方案及其他债券申报材料，债券资金申请程序规范。</w:t>
      </w:r>
    </w:p>
    <w:p>
      <w:pPr>
        <w:shd w:val="clear" w:fill="FFFFFF"/>
        <w:ind w:firstLine="610"/>
        <w:rPr>
          <w:rFonts w:ascii="仿宋" w:hAnsi="仿宋" w:cs="仿宋"/>
          <w:kern w:val="0"/>
        </w:rPr>
      </w:pPr>
      <w:r>
        <w:rPr>
          <w:rFonts w:ascii="仿宋" w:hAnsi="仿宋" w:cs="仿宋"/>
          <w:b/>
          <w:bCs/>
          <w:kern w:val="0"/>
        </w:rPr>
        <w:t>申债额度科学性：</w:t>
      </w:r>
      <w:r>
        <w:rPr>
          <w:rFonts w:ascii="仿宋" w:hAnsi="仿宋" w:cs="仿宋"/>
          <w:kern w:val="0"/>
        </w:rPr>
        <w:t>本项目安排债券资金2,000万元</w:t>
      </w:r>
      <w:r>
        <w:rPr>
          <w:kern w:val="0"/>
        </w:rPr>
        <w:t>，占总投资估算的25.56%，申债额度经过科学论证，申债内容与项目内容匹配，申债额度测算依据充分，专项债券资金使用方案按照标准编制，与实际需要匹配。</w:t>
      </w:r>
    </w:p>
    <w:p>
      <w:pPr>
        <w:pStyle w:val="5"/>
        <w:shd w:val="clear" w:fill="FFFFFF"/>
        <w:spacing w:before="0" w:after="0" w:line="560" w:lineRule="exact"/>
        <w:ind w:firstLine="610"/>
        <w:rPr>
          <w:rFonts w:eastAsia="楷体"/>
          <w:kern w:val="0"/>
        </w:rPr>
      </w:pPr>
      <w:bookmarkStart w:id="23" w:name="__RefHeading___Toc142235572"/>
      <w:bookmarkEnd w:id="23"/>
      <w:r>
        <w:rPr>
          <w:rFonts w:eastAsia="楷体"/>
          <w:kern w:val="0"/>
        </w:rPr>
        <w:t>2.3.2过程情况分析</w:t>
      </w:r>
    </w:p>
    <w:p>
      <w:pPr>
        <w:shd w:val="clear" w:fill="FFFFFF"/>
        <w:ind w:firstLine="607"/>
        <w:rPr>
          <w:rFonts w:ascii="仿宋" w:hAnsi="仿宋" w:cs="仿宋"/>
          <w:kern w:val="0"/>
        </w:rPr>
      </w:pPr>
      <w:r>
        <w:rPr>
          <w:rFonts w:ascii="仿宋" w:hAnsi="仿宋" w:cs="仿宋"/>
          <w:kern w:val="0"/>
        </w:rPr>
        <w:t>过程指标从资金管理和项目组织管理2个方面对项目进行</w:t>
      </w:r>
      <w:r>
        <w:rPr>
          <w:rFonts w:hint="eastAsia" w:ascii="仿宋" w:hAnsi="仿宋" w:cs="仿宋"/>
          <w:kern w:val="0"/>
          <w:lang w:val="en-US" w:eastAsia="zh-CN"/>
        </w:rPr>
        <w:t>考核</w:t>
      </w:r>
      <w:r>
        <w:rPr>
          <w:rFonts w:ascii="仿宋" w:hAnsi="仿宋" w:cs="仿宋"/>
          <w:kern w:val="0"/>
        </w:rPr>
        <w:t>，过程指标分值共计20分，本项目实际得分9.15分，得分率为45.75%。各指标的实际得分情况详见表2.4。</w:t>
      </w:r>
    </w:p>
    <w:p>
      <w:pPr>
        <w:shd w:val="clear" w:fill="FFFFFF"/>
        <w:ind w:firstLine="607"/>
        <w:jc w:val="center"/>
        <w:rPr>
          <w:rFonts w:ascii="仿宋" w:hAnsi="仿宋" w:cs="仿宋"/>
          <w:kern w:val="0"/>
        </w:rPr>
      </w:pPr>
      <w:r>
        <w:rPr>
          <w:rFonts w:ascii="仿宋" w:hAnsi="仿宋" w:cs="仿宋"/>
          <w:kern w:val="0"/>
        </w:rPr>
        <w:t>表2.4 过程指标得分情况</w:t>
      </w:r>
    </w:p>
    <w:tbl>
      <w:tblPr>
        <w:tblStyle w:val="19"/>
        <w:tblW w:w="8699" w:type="dxa"/>
        <w:tblInd w:w="0" w:type="dxa"/>
        <w:tblLayout w:type="fixed"/>
        <w:tblCellMar>
          <w:top w:w="0" w:type="dxa"/>
          <w:left w:w="108" w:type="dxa"/>
          <w:bottom w:w="0" w:type="dxa"/>
          <w:right w:w="108" w:type="dxa"/>
        </w:tblCellMar>
      </w:tblPr>
      <w:tblGrid>
        <w:gridCol w:w="1854"/>
        <w:gridCol w:w="3730"/>
        <w:gridCol w:w="872"/>
        <w:gridCol w:w="892"/>
        <w:gridCol w:w="1351"/>
      </w:tblGrid>
      <w:tr>
        <w:tblPrEx>
          <w:tblLayout w:type="fixed"/>
          <w:tblCellMar>
            <w:top w:w="0" w:type="dxa"/>
            <w:left w:w="108" w:type="dxa"/>
            <w:bottom w:w="0" w:type="dxa"/>
            <w:right w:w="108" w:type="dxa"/>
          </w:tblCellMar>
        </w:tblPrEx>
        <w:trPr>
          <w:trHeight w:val="90" w:hRule="atLeast"/>
        </w:trPr>
        <w:tc>
          <w:tcPr>
            <w:tcW w:w="18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二级指标</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三级指标</w:t>
            </w:r>
          </w:p>
        </w:tc>
        <w:tc>
          <w:tcPr>
            <w:tcW w:w="872" w:type="dxa"/>
            <w:tcBorders>
              <w:top w:val="single" w:color="000000" w:sz="4" w:space="0"/>
              <w:left w:val="single" w:color="000000" w:sz="4" w:space="0"/>
              <w:bottom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分值</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评分</w:t>
            </w:r>
          </w:p>
        </w:tc>
        <w:tc>
          <w:tcPr>
            <w:tcW w:w="13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得分率</w:t>
            </w:r>
          </w:p>
        </w:tc>
      </w:tr>
      <w:tr>
        <w:tblPrEx>
          <w:tblLayout w:type="fixed"/>
          <w:tblCellMar>
            <w:top w:w="0" w:type="dxa"/>
            <w:left w:w="108" w:type="dxa"/>
            <w:bottom w:w="0" w:type="dxa"/>
            <w:right w:w="108" w:type="dxa"/>
          </w:tblCellMar>
        </w:tblPrEx>
        <w:trPr>
          <w:trHeight w:val="454" w:hRule="atLeast"/>
        </w:trPr>
        <w:tc>
          <w:tcPr>
            <w:tcW w:w="1854" w:type="dxa"/>
            <w:vMerge w:val="restart"/>
            <w:tcBorders>
              <w:top w:val="single" w:color="000000" w:sz="4" w:space="0"/>
              <w:left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资金管理</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left"/>
              <w:textAlignment w:val="center"/>
              <w:rPr>
                <w:rFonts w:ascii="仿宋" w:hAnsi="仿宋" w:cs="仿宋"/>
                <w:kern w:val="0"/>
                <w:sz w:val="24"/>
                <w:szCs w:val="24"/>
                <w:lang w:bidi="ar"/>
              </w:rPr>
            </w:pPr>
            <w:r>
              <w:rPr>
                <w:rFonts w:ascii="仿宋" w:hAnsi="仿宋" w:cs="仿宋"/>
                <w:kern w:val="0"/>
                <w:sz w:val="24"/>
                <w:szCs w:val="24"/>
                <w:lang w:bidi="ar"/>
              </w:rPr>
              <w:t>项目预算资金执行率</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3</w:t>
            </w:r>
          </w:p>
        </w:tc>
        <w:tc>
          <w:tcPr>
            <w:tcW w:w="8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2.65</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17.00%</w:t>
            </w:r>
          </w:p>
        </w:tc>
      </w:tr>
      <w:tr>
        <w:tblPrEx>
          <w:tblLayout w:type="fixed"/>
          <w:tblCellMar>
            <w:top w:w="0" w:type="dxa"/>
            <w:left w:w="108" w:type="dxa"/>
            <w:bottom w:w="0" w:type="dxa"/>
            <w:right w:w="108" w:type="dxa"/>
          </w:tblCellMar>
        </w:tblPrEx>
        <w:trPr>
          <w:trHeight w:val="454" w:hRule="atLeast"/>
        </w:trPr>
        <w:tc>
          <w:tcPr>
            <w:tcW w:w="1854" w:type="dxa"/>
            <w:vMerge w:val="continue"/>
            <w:tcBorders>
              <w:top w:val="single" w:color="000000" w:sz="4" w:space="0"/>
              <w:left w:val="single" w:color="000000" w:sz="4" w:space="0"/>
              <w:right w:val="single" w:color="000000" w:sz="4" w:space="0"/>
            </w:tcBorders>
            <w:shd w:val="clear" w:color="auto" w:fill="FFFFFF"/>
            <w:vAlign w:val="center"/>
          </w:tcPr>
          <w:p>
            <w:pPr>
              <w:widowControl/>
              <w:snapToGrid w:val="0"/>
              <w:spacing w:line="300" w:lineRule="exact"/>
              <w:ind w:firstLine="0"/>
              <w:jc w:val="center"/>
              <w:textAlignment w:val="center"/>
              <w:rPr>
                <w:rFonts w:ascii="仿宋" w:hAnsi="仿宋" w:cs="仿宋"/>
                <w:kern w:val="0"/>
                <w:sz w:val="24"/>
                <w:szCs w:val="24"/>
                <w:lang w:bidi="ar"/>
              </w:rPr>
            </w:pP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left"/>
              <w:textAlignment w:val="center"/>
              <w:rPr>
                <w:rFonts w:ascii="仿宋" w:hAnsi="仿宋" w:cs="仿宋"/>
                <w:kern w:val="0"/>
                <w:sz w:val="24"/>
                <w:szCs w:val="24"/>
                <w:lang w:bidi="ar"/>
              </w:rPr>
            </w:pPr>
            <w:r>
              <w:rPr>
                <w:rFonts w:ascii="仿宋" w:hAnsi="仿宋" w:cs="仿宋"/>
                <w:kern w:val="0"/>
                <w:sz w:val="24"/>
                <w:szCs w:val="24"/>
                <w:lang w:bidi="ar"/>
              </w:rPr>
              <w:t>债券资金使用率</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3</w:t>
            </w:r>
          </w:p>
        </w:tc>
        <w:tc>
          <w:tcPr>
            <w:tcW w:w="8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0</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88.33%</w:t>
            </w:r>
          </w:p>
        </w:tc>
      </w:tr>
      <w:tr>
        <w:tblPrEx>
          <w:tblLayout w:type="fixed"/>
          <w:tblCellMar>
            <w:top w:w="0" w:type="dxa"/>
            <w:left w:w="108" w:type="dxa"/>
            <w:bottom w:w="0" w:type="dxa"/>
            <w:right w:w="108" w:type="dxa"/>
          </w:tblCellMar>
        </w:tblPrEx>
        <w:trPr>
          <w:trHeight w:val="454" w:hRule="atLeast"/>
        </w:trPr>
        <w:tc>
          <w:tcPr>
            <w:tcW w:w="1854" w:type="dxa"/>
            <w:vMerge w:val="continue"/>
            <w:tcBorders>
              <w:top w:val="single" w:color="000000" w:sz="4" w:space="0"/>
              <w:left w:val="single" w:color="000000" w:sz="4" w:space="0"/>
              <w:right w:val="single" w:color="000000" w:sz="4" w:space="0"/>
            </w:tcBorders>
            <w:shd w:val="clear" w:color="auto" w:fill="FFFFFF"/>
            <w:vAlign w:val="center"/>
          </w:tcPr>
          <w:p>
            <w:pPr>
              <w:widowControl/>
              <w:snapToGrid w:val="0"/>
              <w:spacing w:line="300" w:lineRule="exact"/>
              <w:ind w:firstLine="0"/>
              <w:jc w:val="center"/>
              <w:textAlignment w:val="center"/>
              <w:rPr>
                <w:rFonts w:ascii="仿宋" w:hAnsi="仿宋" w:cs="仿宋"/>
                <w:kern w:val="0"/>
                <w:sz w:val="24"/>
                <w:szCs w:val="24"/>
                <w:lang w:bidi="ar"/>
              </w:rPr>
            </w:pP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left"/>
              <w:textAlignment w:val="center"/>
              <w:rPr>
                <w:rFonts w:ascii="仿宋" w:hAnsi="仿宋" w:cs="仿宋"/>
                <w:kern w:val="0"/>
                <w:sz w:val="24"/>
                <w:szCs w:val="24"/>
                <w:lang w:bidi="ar"/>
              </w:rPr>
            </w:pPr>
            <w:r>
              <w:rPr>
                <w:rFonts w:ascii="仿宋" w:hAnsi="仿宋" w:cs="仿宋"/>
                <w:kern w:val="0"/>
                <w:sz w:val="24"/>
                <w:szCs w:val="24"/>
                <w:lang w:bidi="ar"/>
              </w:rPr>
              <w:t>资金拨付和支出进度与项目建设进度匹配性</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3</w:t>
            </w:r>
          </w:p>
        </w:tc>
        <w:tc>
          <w:tcPr>
            <w:tcW w:w="8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1.5</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50.00%</w:t>
            </w:r>
          </w:p>
        </w:tc>
      </w:tr>
      <w:tr>
        <w:tblPrEx>
          <w:tblLayout w:type="fixed"/>
          <w:tblCellMar>
            <w:top w:w="0" w:type="dxa"/>
            <w:left w:w="108" w:type="dxa"/>
            <w:bottom w:w="0" w:type="dxa"/>
            <w:right w:w="108" w:type="dxa"/>
          </w:tblCellMar>
        </w:tblPrEx>
        <w:trPr>
          <w:trHeight w:val="454" w:hRule="atLeast"/>
        </w:trPr>
        <w:tc>
          <w:tcPr>
            <w:tcW w:w="1854" w:type="dxa"/>
            <w:vMerge w:val="continue"/>
            <w:tcBorders>
              <w:top w:val="single" w:color="000000" w:sz="4" w:space="0"/>
              <w:left w:val="single" w:color="000000" w:sz="4" w:space="0"/>
              <w:right w:val="single" w:color="000000" w:sz="4" w:space="0"/>
            </w:tcBorders>
            <w:shd w:val="clear" w:color="auto" w:fill="FFFFFF"/>
            <w:vAlign w:val="center"/>
          </w:tcPr>
          <w:p>
            <w:pPr>
              <w:widowControl/>
              <w:snapToGrid w:val="0"/>
              <w:spacing w:line="300" w:lineRule="exact"/>
              <w:ind w:firstLine="0"/>
              <w:jc w:val="center"/>
              <w:textAlignment w:val="center"/>
              <w:rPr>
                <w:rFonts w:ascii="仿宋" w:hAnsi="仿宋" w:cs="仿宋"/>
                <w:kern w:val="0"/>
                <w:sz w:val="24"/>
                <w:szCs w:val="24"/>
                <w:lang w:bidi="ar"/>
              </w:rPr>
            </w:pP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left"/>
              <w:textAlignment w:val="center"/>
              <w:rPr>
                <w:rFonts w:ascii="仿宋" w:hAnsi="仿宋" w:cs="仿宋"/>
                <w:kern w:val="0"/>
                <w:sz w:val="24"/>
                <w:szCs w:val="24"/>
                <w:lang w:bidi="ar"/>
              </w:rPr>
            </w:pPr>
            <w:r>
              <w:rPr>
                <w:rFonts w:ascii="仿宋" w:hAnsi="仿宋" w:cs="仿宋"/>
                <w:kern w:val="0"/>
                <w:sz w:val="24"/>
                <w:szCs w:val="24"/>
                <w:lang w:bidi="ar"/>
              </w:rPr>
              <w:t>资金使用合规性</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4</w:t>
            </w:r>
          </w:p>
        </w:tc>
        <w:tc>
          <w:tcPr>
            <w:tcW w:w="8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2</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50.00%</w:t>
            </w:r>
          </w:p>
        </w:tc>
      </w:tr>
      <w:tr>
        <w:tblPrEx>
          <w:tblLayout w:type="fixed"/>
          <w:tblCellMar>
            <w:top w:w="0" w:type="dxa"/>
            <w:left w:w="108" w:type="dxa"/>
            <w:bottom w:w="0" w:type="dxa"/>
            <w:right w:w="108" w:type="dxa"/>
          </w:tblCellMar>
        </w:tblPrEx>
        <w:trPr>
          <w:trHeight w:val="454" w:hRule="atLeast"/>
        </w:trPr>
        <w:tc>
          <w:tcPr>
            <w:tcW w:w="18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sz w:val="24"/>
                <w:szCs w:val="24"/>
              </w:rPr>
            </w:pPr>
            <w:r>
              <w:rPr>
                <w:rFonts w:ascii="仿宋" w:hAnsi="仿宋" w:cs="仿宋"/>
                <w:sz w:val="24"/>
                <w:szCs w:val="24"/>
              </w:rPr>
              <w:t>项目组织管理</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left"/>
              <w:textAlignment w:val="center"/>
              <w:rPr>
                <w:rFonts w:ascii="仿宋" w:hAnsi="仿宋" w:cs="仿宋"/>
                <w:kern w:val="0"/>
                <w:sz w:val="24"/>
                <w:szCs w:val="24"/>
                <w:lang w:bidi="ar"/>
              </w:rPr>
            </w:pPr>
            <w:r>
              <w:rPr>
                <w:rFonts w:ascii="仿宋" w:hAnsi="仿宋" w:cs="仿宋"/>
                <w:kern w:val="0"/>
                <w:sz w:val="24"/>
                <w:szCs w:val="24"/>
                <w:lang w:bidi="ar"/>
              </w:rPr>
              <w:t>制度健全性</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3</w:t>
            </w:r>
          </w:p>
        </w:tc>
        <w:tc>
          <w:tcPr>
            <w:tcW w:w="8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3</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100.00%</w:t>
            </w:r>
          </w:p>
        </w:tc>
      </w:tr>
      <w:tr>
        <w:tblPrEx>
          <w:tblLayout w:type="fixed"/>
          <w:tblCellMar>
            <w:top w:w="0" w:type="dxa"/>
            <w:left w:w="108" w:type="dxa"/>
            <w:bottom w:w="0" w:type="dxa"/>
            <w:right w:w="108" w:type="dxa"/>
          </w:tblCellMar>
        </w:tblPrEx>
        <w:trPr>
          <w:trHeight w:val="454" w:hRule="atLeast"/>
        </w:trPr>
        <w:tc>
          <w:tcPr>
            <w:tcW w:w="18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300" w:lineRule="exact"/>
              <w:ind w:firstLine="447"/>
              <w:jc w:val="center"/>
              <w:rPr>
                <w:rFonts w:ascii="仿宋" w:hAnsi="仿宋" w:cs="仿宋"/>
                <w:kern w:val="0"/>
                <w:sz w:val="24"/>
                <w:szCs w:val="24"/>
                <w:lang w:bidi="ar"/>
              </w:rPr>
            </w:pP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left"/>
              <w:textAlignment w:val="center"/>
              <w:rPr>
                <w:rFonts w:ascii="仿宋" w:hAnsi="仿宋" w:cs="仿宋"/>
                <w:kern w:val="0"/>
                <w:sz w:val="24"/>
                <w:szCs w:val="24"/>
                <w:lang w:bidi="ar"/>
              </w:rPr>
            </w:pPr>
            <w:r>
              <w:rPr>
                <w:rFonts w:ascii="仿宋" w:hAnsi="仿宋" w:cs="仿宋"/>
                <w:kern w:val="0"/>
                <w:sz w:val="24"/>
                <w:szCs w:val="24"/>
                <w:lang w:bidi="ar"/>
              </w:rPr>
              <w:t>项目管理规范性</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4</w:t>
            </w:r>
          </w:p>
        </w:tc>
        <w:tc>
          <w:tcPr>
            <w:tcW w:w="892"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25.00%</w:t>
            </w:r>
          </w:p>
        </w:tc>
      </w:tr>
      <w:tr>
        <w:tblPrEx>
          <w:tblLayout w:type="fixed"/>
          <w:tblCellMar>
            <w:top w:w="0" w:type="dxa"/>
            <w:left w:w="108" w:type="dxa"/>
            <w:bottom w:w="0" w:type="dxa"/>
            <w:right w:w="108" w:type="dxa"/>
          </w:tblCellMar>
        </w:tblPrEx>
        <w:trPr>
          <w:trHeight w:val="454" w:hRule="atLeast"/>
        </w:trPr>
        <w:tc>
          <w:tcPr>
            <w:tcW w:w="558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449"/>
              <w:textAlignment w:val="center"/>
              <w:rPr>
                <w:rFonts w:ascii="仿宋" w:hAnsi="仿宋" w:cs="仿宋"/>
                <w:b/>
                <w:bCs/>
                <w:sz w:val="24"/>
                <w:szCs w:val="24"/>
              </w:rPr>
            </w:pPr>
            <w:r>
              <w:rPr>
                <w:rFonts w:ascii="仿宋" w:hAnsi="仿宋" w:cs="仿宋"/>
                <w:b/>
                <w:bCs/>
                <w:kern w:val="0"/>
                <w:sz w:val="24"/>
                <w:szCs w:val="24"/>
                <w:lang w:bidi="ar"/>
              </w:rPr>
              <w:t>合计</w:t>
            </w:r>
          </w:p>
        </w:tc>
        <w:tc>
          <w:tcPr>
            <w:tcW w:w="872" w:type="dxa"/>
            <w:tcBorders>
              <w:top w:val="single" w:color="000000" w:sz="4" w:space="0"/>
              <w:left w:val="single" w:color="000000" w:sz="4" w:space="0"/>
              <w:bottom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20</w:t>
            </w:r>
          </w:p>
        </w:tc>
        <w:tc>
          <w:tcPr>
            <w:tcW w:w="892" w:type="dxa"/>
            <w:tcBorders>
              <w:top w:val="single" w:color="000000" w:sz="4" w:space="0"/>
              <w:left w:val="single" w:color="000000" w:sz="4" w:space="0"/>
              <w:bottom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9.15</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45.75%</w:t>
            </w:r>
          </w:p>
        </w:tc>
      </w:tr>
    </w:tbl>
    <w:p>
      <w:pPr>
        <w:shd w:val="clear" w:fill="FFFFFF"/>
        <w:ind w:firstLine="607"/>
        <w:rPr>
          <w:kern w:val="0"/>
        </w:rPr>
      </w:pPr>
    </w:p>
    <w:p>
      <w:pPr>
        <w:shd w:val="clear" w:fill="FFFFFF"/>
        <w:ind w:firstLine="610"/>
        <w:rPr>
          <w:rFonts w:ascii="仿宋" w:hAnsi="仿宋" w:cs="仿宋"/>
          <w:kern w:val="0"/>
        </w:rPr>
      </w:pPr>
      <w:r>
        <w:rPr>
          <w:rFonts w:ascii="仿宋" w:hAnsi="仿宋" w:cs="仿宋"/>
          <w:b/>
          <w:bCs/>
          <w:kern w:val="0"/>
        </w:rPr>
        <w:t>项目预算资金执行率：</w:t>
      </w:r>
      <w:r>
        <w:rPr>
          <w:rFonts w:ascii="仿宋" w:hAnsi="仿宋" w:cs="仿宋"/>
          <w:kern w:val="0"/>
        </w:rPr>
        <w:t>本项目2022年实际到账金额2,808万元(其中一般债券2,000万元，政府性基金400万元，县级资金408万元)；2022年实际执行金额为2481.92万元，2022 年项目预算执行率为88.39%（根据财政局要求，项目年度预算执行率计算截止时间为2023年1月31日），本指标实际得分2.65分（3分*88.39%）。</w:t>
      </w:r>
    </w:p>
    <w:p>
      <w:pPr>
        <w:shd w:val="clear" w:fill="FFFFFF"/>
        <w:ind w:firstLine="610"/>
        <w:rPr>
          <w:rFonts w:ascii="仿宋" w:hAnsi="仿宋" w:cs="仿宋"/>
          <w:kern w:val="0"/>
        </w:rPr>
      </w:pPr>
      <w:r>
        <w:rPr>
          <w:rFonts w:ascii="仿宋" w:hAnsi="仿宋" w:cs="仿宋"/>
          <w:b/>
          <w:bCs/>
          <w:kern w:val="0"/>
        </w:rPr>
        <w:t>债券资金使用率：</w:t>
      </w:r>
      <w:r>
        <w:rPr>
          <w:rFonts w:ascii="仿宋" w:hAnsi="仿宋" w:cs="仿宋"/>
          <w:kern w:val="0"/>
        </w:rPr>
        <w:t>2022年实际到位一般债券资金2,000万元，2022年债券资金实际使用0万元（其</w:t>
      </w:r>
      <w:r>
        <w:rPr>
          <w:rFonts w:hint="eastAsia" w:ascii="仿宋" w:hAnsi="仿宋" w:cs="仿宋"/>
          <w:kern w:val="0"/>
          <w:lang w:val="en-US" w:eastAsia="zh-CN"/>
        </w:rPr>
        <w:t>中</w:t>
      </w:r>
      <w:r>
        <w:rPr>
          <w:rFonts w:ascii="仿宋" w:hAnsi="仿宋" w:cs="仿宋"/>
          <w:kern w:val="0"/>
        </w:rPr>
        <w:t>2000万债券资金在2023年1月使用），债券资金年度实际使用率为0；本指标实际得分0分。</w:t>
      </w:r>
    </w:p>
    <w:p>
      <w:pPr>
        <w:shd w:val="clear" w:fill="FFFFFF"/>
        <w:ind w:firstLine="610"/>
        <w:rPr>
          <w:rFonts w:ascii="仿宋" w:hAnsi="仿宋" w:cs="仿宋"/>
          <w:kern w:val="0"/>
        </w:rPr>
      </w:pPr>
      <w:r>
        <w:rPr>
          <w:rFonts w:ascii="仿宋" w:hAnsi="仿宋" w:cs="仿宋"/>
          <w:b/>
          <w:bCs/>
          <w:kern w:val="0"/>
        </w:rPr>
        <w:t>资金拨付和支出进度与项目建设进度匹配性：</w:t>
      </w:r>
      <w:r>
        <w:rPr>
          <w:rFonts w:ascii="仿宋" w:hAnsi="仿宋" w:cs="仿宋"/>
          <w:kern w:val="0"/>
        </w:rPr>
        <w:t>经核查项目支付明细和支付凭证，本项目资金拨付和支出进度未按合同计划执行，与项目建设进度不相匹配。本指标扣1.5分。</w:t>
      </w:r>
    </w:p>
    <w:p>
      <w:pPr>
        <w:shd w:val="clear" w:fill="FFFFFF"/>
        <w:ind w:firstLine="610"/>
        <w:rPr>
          <w:rFonts w:ascii="仿宋" w:hAnsi="仿宋" w:cs="仿宋"/>
          <w:kern w:val="0"/>
        </w:rPr>
      </w:pPr>
      <w:r>
        <w:rPr>
          <w:rFonts w:ascii="仿宋" w:hAnsi="仿宋" w:cs="仿宋"/>
          <w:b/>
          <w:bCs/>
          <w:kern w:val="0"/>
        </w:rPr>
        <w:t>资金使用合规性：</w:t>
      </w:r>
      <w:r>
        <w:rPr>
          <w:rFonts w:ascii="仿宋" w:hAnsi="仿宋" w:cs="仿宋"/>
          <w:kern w:val="0"/>
        </w:rPr>
        <w:t>根据抽查财务凭证，资金使用有完整的审批程序和手续；但一般债券资金的使用不合规。本项目标段一的支付未按合同约定付款，且支付金额超过合同中标金额146.34万元。本指标扣分2分。</w:t>
      </w:r>
    </w:p>
    <w:p>
      <w:pPr>
        <w:shd w:val="clear" w:fill="FFFFFF"/>
        <w:ind w:firstLine="610"/>
        <w:rPr>
          <w:rFonts w:ascii="仿宋" w:hAnsi="仿宋" w:cs="仿宋"/>
          <w:kern w:val="0"/>
        </w:rPr>
      </w:pPr>
      <w:r>
        <w:rPr>
          <w:rFonts w:ascii="仿宋" w:hAnsi="仿宋" w:cs="仿宋"/>
          <w:b/>
          <w:bCs/>
          <w:kern w:val="0"/>
        </w:rPr>
        <w:t>管理制度健全性：</w:t>
      </w:r>
      <w:r>
        <w:rPr>
          <w:rFonts w:ascii="仿宋" w:hAnsi="仿宋" w:cs="仿宋"/>
        </w:rPr>
        <w:t>经核查，项目单位为了加强项目管理与监督，提高内控执行力，制定有《崇阳县应急管理局内部财务管理制度》《崇阳县应急管理局资金使用审批制度》《崇阳县应急管理局部门预算资金管理办法》《崇阳县应急管理局国有资产管理制度》等，所制定的管理制度合法、合规</w:t>
      </w:r>
      <w:r>
        <w:rPr>
          <w:rFonts w:ascii="仿宋" w:hAnsi="仿宋" w:cs="仿宋"/>
          <w:kern w:val="0"/>
        </w:rPr>
        <w:t>。</w:t>
      </w:r>
    </w:p>
    <w:p>
      <w:pPr>
        <w:shd w:val="clear" w:fill="FFFFFF"/>
        <w:ind w:firstLine="610"/>
        <w:rPr>
          <w:rFonts w:ascii="仿宋" w:hAnsi="仿宋" w:cs="仿宋"/>
          <w:kern w:val="0"/>
        </w:rPr>
      </w:pPr>
      <w:r>
        <w:rPr>
          <w:rFonts w:ascii="仿宋" w:hAnsi="仿宋" w:cs="仿宋"/>
          <w:b/>
          <w:bCs/>
          <w:kern w:val="0"/>
        </w:rPr>
        <w:t>项目管理规范性：</w:t>
      </w:r>
      <w:r>
        <w:rPr>
          <w:rFonts w:ascii="仿宋" w:hAnsi="仿宋" w:cs="仿宋"/>
          <w:kern w:val="0"/>
        </w:rPr>
        <w:t>本项目管理不规范，一是项目施工前一些必要的施工许可证照未按要求的时间办理完毕，项目前期准备工作不够充分。二是资金支付未按合同约定付款，对制度的执行缺乏有效性。本指标扣3分。</w:t>
      </w:r>
    </w:p>
    <w:p>
      <w:pPr>
        <w:pStyle w:val="5"/>
        <w:shd w:val="clear" w:fill="FFFFFF"/>
        <w:spacing w:before="0" w:after="0" w:line="560" w:lineRule="exact"/>
        <w:ind w:firstLine="610"/>
        <w:rPr>
          <w:kern w:val="0"/>
        </w:rPr>
      </w:pPr>
      <w:bookmarkStart w:id="24" w:name="__RefHeading___Toc142235573"/>
      <w:bookmarkEnd w:id="24"/>
      <w:r>
        <w:rPr>
          <w:rFonts w:eastAsia="楷体"/>
        </w:rPr>
        <w:t>2.3.3项目产出情况分析</w:t>
      </w:r>
    </w:p>
    <w:p>
      <w:pPr>
        <w:shd w:val="clear" w:fill="FFFFFF"/>
        <w:ind w:firstLine="607"/>
        <w:rPr>
          <w:kern w:val="0"/>
        </w:rPr>
      </w:pPr>
      <w:r>
        <w:rPr>
          <w:kern w:val="0"/>
        </w:rPr>
        <w:t>产出指标从产出数量、</w:t>
      </w:r>
      <w:r>
        <w:rPr>
          <w:rFonts w:ascii="仿宋" w:hAnsi="仿宋" w:cs="仿宋"/>
          <w:kern w:val="0"/>
        </w:rPr>
        <w:t>产出质量、产出时效、产出成本四个方面对项目进行考察，产出指标分值共计30分，本项目实际得分25分，得分率为83.33%。各指标的实际得分情况详见表2.5。</w:t>
      </w:r>
    </w:p>
    <w:p>
      <w:pPr>
        <w:shd w:val="clear" w:fill="FFFFFF"/>
        <w:ind w:firstLine="607"/>
        <w:jc w:val="center"/>
        <w:rPr>
          <w:rFonts w:ascii="仿宋" w:hAnsi="仿宋" w:cs="仿宋"/>
          <w:kern w:val="0"/>
        </w:rPr>
      </w:pPr>
      <w:r>
        <w:rPr>
          <w:rFonts w:ascii="仿宋" w:hAnsi="仿宋" w:cs="仿宋"/>
          <w:kern w:val="0"/>
        </w:rPr>
        <w:t>表2.5 产出指标得分情况</w:t>
      </w:r>
    </w:p>
    <w:tbl>
      <w:tblPr>
        <w:tblStyle w:val="19"/>
        <w:tblW w:w="8699" w:type="dxa"/>
        <w:tblInd w:w="0" w:type="dxa"/>
        <w:tblLayout w:type="fixed"/>
        <w:tblCellMar>
          <w:top w:w="0" w:type="dxa"/>
          <w:left w:w="108" w:type="dxa"/>
          <w:bottom w:w="0" w:type="dxa"/>
          <w:right w:w="108" w:type="dxa"/>
        </w:tblCellMar>
      </w:tblPr>
      <w:tblGrid>
        <w:gridCol w:w="1852"/>
        <w:gridCol w:w="3730"/>
        <w:gridCol w:w="873"/>
        <w:gridCol w:w="893"/>
        <w:gridCol w:w="1351"/>
      </w:tblGrid>
      <w:tr>
        <w:tblPrEx>
          <w:tblLayout w:type="fixed"/>
          <w:tblCellMar>
            <w:top w:w="0" w:type="dxa"/>
            <w:left w:w="108" w:type="dxa"/>
            <w:bottom w:w="0" w:type="dxa"/>
            <w:right w:w="108" w:type="dxa"/>
          </w:tblCellMar>
        </w:tblPrEx>
        <w:trPr>
          <w:trHeight w:val="454" w:hRule="atLeast"/>
          <w:tblHeader/>
        </w:trPr>
        <w:tc>
          <w:tcPr>
            <w:tcW w:w="18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二级指标</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三级指标</w:t>
            </w:r>
          </w:p>
        </w:tc>
        <w:tc>
          <w:tcPr>
            <w:tcW w:w="873" w:type="dxa"/>
            <w:tcBorders>
              <w:top w:val="single" w:color="000000" w:sz="4" w:space="0"/>
              <w:left w:val="single" w:color="000000" w:sz="4" w:space="0"/>
              <w:bottom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分值</w:t>
            </w:r>
          </w:p>
        </w:tc>
        <w:tc>
          <w:tcPr>
            <w:tcW w:w="8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评分</w:t>
            </w:r>
          </w:p>
        </w:tc>
        <w:tc>
          <w:tcPr>
            <w:tcW w:w="13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得分率</w:t>
            </w:r>
          </w:p>
        </w:tc>
      </w:tr>
      <w:tr>
        <w:tblPrEx>
          <w:tblLayout w:type="fixed"/>
          <w:tblCellMar>
            <w:top w:w="0" w:type="dxa"/>
            <w:left w:w="108" w:type="dxa"/>
            <w:bottom w:w="0" w:type="dxa"/>
            <w:right w:w="108" w:type="dxa"/>
          </w:tblCellMar>
        </w:tblPrEx>
        <w:trPr>
          <w:trHeight w:val="454" w:hRule="atLeast"/>
        </w:trPr>
        <w:tc>
          <w:tcPr>
            <w:tcW w:w="18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4"/>
                <w:szCs w:val="24"/>
              </w:rPr>
            </w:pPr>
            <w:r>
              <w:rPr>
                <w:rFonts w:ascii="仿宋" w:hAnsi="仿宋" w:cs="仿宋"/>
                <w:kern w:val="0"/>
                <w:sz w:val="24"/>
                <w:szCs w:val="24"/>
                <w:lang w:bidi="ar"/>
              </w:rPr>
              <w:t>产出数量</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kern w:val="0"/>
                <w:sz w:val="24"/>
                <w:szCs w:val="24"/>
                <w:lang w:bidi="ar"/>
              </w:rPr>
            </w:pPr>
            <w:r>
              <w:rPr>
                <w:rFonts w:ascii="仿宋" w:hAnsi="仿宋" w:cs="仿宋"/>
                <w:sz w:val="24"/>
                <w:szCs w:val="24"/>
              </w:rPr>
              <w:t>项目建设按期开工率</w:t>
            </w:r>
          </w:p>
        </w:tc>
        <w:tc>
          <w:tcPr>
            <w:tcW w:w="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6</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60.00%</w:t>
            </w:r>
          </w:p>
        </w:tc>
      </w:tr>
      <w:tr>
        <w:tblPrEx>
          <w:tblLayout w:type="fixed"/>
          <w:tblCellMar>
            <w:top w:w="0" w:type="dxa"/>
            <w:left w:w="108" w:type="dxa"/>
            <w:bottom w:w="0" w:type="dxa"/>
            <w:right w:w="108" w:type="dxa"/>
          </w:tblCellMar>
        </w:tblPrEx>
        <w:trPr>
          <w:trHeight w:val="454"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300" w:lineRule="exact"/>
              <w:ind w:firstLine="447"/>
              <w:rPr>
                <w:rFonts w:ascii="仿宋" w:hAnsi="仿宋" w:cs="仿宋"/>
                <w:kern w:val="0"/>
                <w:sz w:val="24"/>
                <w:szCs w:val="24"/>
                <w:lang w:bidi="ar"/>
              </w:rPr>
            </w:pP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kern w:val="0"/>
                <w:sz w:val="24"/>
                <w:szCs w:val="24"/>
                <w:lang w:bidi="ar"/>
              </w:rPr>
            </w:pPr>
            <w:r>
              <w:rPr>
                <w:rFonts w:ascii="仿宋" w:hAnsi="仿宋" w:cs="仿宋"/>
                <w:kern w:val="0"/>
                <w:sz w:val="24"/>
                <w:szCs w:val="24"/>
                <w:lang w:bidi="ar"/>
              </w:rPr>
              <w:t>土地平整率</w:t>
            </w:r>
          </w:p>
        </w:tc>
        <w:tc>
          <w:tcPr>
            <w:tcW w:w="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100.00%</w:t>
            </w:r>
          </w:p>
        </w:tc>
      </w:tr>
      <w:tr>
        <w:tblPrEx>
          <w:tblLayout w:type="fixed"/>
          <w:tblCellMar>
            <w:top w:w="0" w:type="dxa"/>
            <w:left w:w="108" w:type="dxa"/>
            <w:bottom w:w="0" w:type="dxa"/>
            <w:right w:w="108" w:type="dxa"/>
          </w:tblCellMar>
        </w:tblPrEx>
        <w:trPr>
          <w:trHeight w:val="454" w:hRule="atLeast"/>
        </w:trPr>
        <w:tc>
          <w:tcPr>
            <w:tcW w:w="18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产出质量</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kern w:val="0"/>
                <w:sz w:val="24"/>
                <w:szCs w:val="24"/>
                <w:lang w:bidi="ar"/>
              </w:rPr>
            </w:pPr>
            <w:r>
              <w:rPr>
                <w:rFonts w:ascii="仿宋" w:hAnsi="仿宋" w:cs="仿宋"/>
                <w:kern w:val="0"/>
                <w:sz w:val="24"/>
                <w:szCs w:val="24"/>
                <w:lang w:bidi="ar"/>
              </w:rPr>
              <w:t>分项工程验收合格率</w:t>
            </w:r>
          </w:p>
        </w:tc>
        <w:tc>
          <w:tcPr>
            <w:tcW w:w="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5</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5</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100.00%</w:t>
            </w:r>
          </w:p>
        </w:tc>
      </w:tr>
      <w:tr>
        <w:tblPrEx>
          <w:tblLayout w:type="fixed"/>
          <w:tblCellMar>
            <w:top w:w="0" w:type="dxa"/>
            <w:left w:w="108" w:type="dxa"/>
            <w:bottom w:w="0" w:type="dxa"/>
            <w:right w:w="108" w:type="dxa"/>
          </w:tblCellMar>
        </w:tblPrEx>
        <w:trPr>
          <w:trHeight w:val="454" w:hRule="atLeast"/>
        </w:trPr>
        <w:tc>
          <w:tcPr>
            <w:tcW w:w="18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center"/>
              <w:textAlignment w:val="center"/>
              <w:rPr>
                <w:rFonts w:ascii="仿宋" w:hAnsi="仿宋" w:cs="仿宋"/>
                <w:sz w:val="24"/>
                <w:szCs w:val="24"/>
              </w:rPr>
            </w:pPr>
            <w:r>
              <w:rPr>
                <w:rFonts w:ascii="仿宋" w:hAnsi="仿宋" w:cs="仿宋"/>
                <w:kern w:val="0"/>
                <w:sz w:val="24"/>
                <w:szCs w:val="24"/>
                <w:lang w:bidi="ar"/>
              </w:rPr>
              <w:t>产出时效</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ind w:firstLine="0"/>
              <w:jc w:val="left"/>
              <w:textAlignment w:val="center"/>
              <w:rPr>
                <w:rFonts w:ascii="仿宋" w:hAnsi="仿宋" w:cs="仿宋"/>
                <w:kern w:val="0"/>
                <w:sz w:val="24"/>
                <w:szCs w:val="24"/>
                <w:lang w:bidi="ar"/>
              </w:rPr>
            </w:pPr>
            <w:r>
              <w:rPr>
                <w:rFonts w:ascii="仿宋" w:hAnsi="仿宋" w:cs="仿宋"/>
                <w:kern w:val="0"/>
                <w:sz w:val="24"/>
                <w:szCs w:val="24"/>
                <w:lang w:bidi="ar"/>
              </w:rPr>
              <w:t>建设进度及时性</w:t>
            </w:r>
          </w:p>
        </w:tc>
        <w:tc>
          <w:tcPr>
            <w:tcW w:w="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5</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4</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80.00%</w:t>
            </w:r>
          </w:p>
        </w:tc>
      </w:tr>
      <w:tr>
        <w:tblPrEx>
          <w:tblLayout w:type="fixed"/>
          <w:tblCellMar>
            <w:top w:w="0" w:type="dxa"/>
            <w:left w:w="108" w:type="dxa"/>
            <w:bottom w:w="0" w:type="dxa"/>
            <w:right w:w="108" w:type="dxa"/>
          </w:tblCellMar>
        </w:tblPrEx>
        <w:trPr>
          <w:trHeight w:val="454" w:hRule="atLeast"/>
        </w:trPr>
        <w:tc>
          <w:tcPr>
            <w:tcW w:w="558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449"/>
              <w:textAlignment w:val="center"/>
              <w:rPr>
                <w:rFonts w:ascii="仿宋" w:hAnsi="仿宋" w:cs="仿宋"/>
                <w:b/>
                <w:bCs/>
                <w:sz w:val="24"/>
                <w:szCs w:val="24"/>
              </w:rPr>
            </w:pPr>
            <w:r>
              <w:rPr>
                <w:rFonts w:ascii="仿宋" w:hAnsi="仿宋" w:cs="仿宋"/>
                <w:b/>
                <w:bCs/>
                <w:kern w:val="0"/>
                <w:sz w:val="24"/>
                <w:szCs w:val="24"/>
                <w:lang w:bidi="ar"/>
              </w:rPr>
              <w:t>合计</w:t>
            </w:r>
          </w:p>
        </w:tc>
        <w:tc>
          <w:tcPr>
            <w:tcW w:w="873" w:type="dxa"/>
            <w:tcBorders>
              <w:top w:val="single" w:color="000000" w:sz="4" w:space="0"/>
              <w:left w:val="single" w:color="000000" w:sz="4" w:space="0"/>
              <w:bottom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30</w:t>
            </w:r>
          </w:p>
        </w:tc>
        <w:tc>
          <w:tcPr>
            <w:tcW w:w="893" w:type="dxa"/>
            <w:tcBorders>
              <w:top w:val="single" w:color="000000" w:sz="4" w:space="0"/>
              <w:left w:val="single" w:color="000000" w:sz="4" w:space="0"/>
              <w:bottom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25</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83.33%</w:t>
            </w:r>
          </w:p>
        </w:tc>
      </w:tr>
    </w:tbl>
    <w:p>
      <w:pPr>
        <w:shd w:val="clear" w:fill="FFFFFF"/>
        <w:ind w:firstLine="610"/>
        <w:rPr>
          <w:rFonts w:ascii="仿宋" w:hAnsi="仿宋" w:cs="仿宋"/>
          <w:kern w:val="0"/>
        </w:rPr>
      </w:pPr>
      <w:r>
        <w:rPr>
          <w:rFonts w:ascii="仿宋" w:hAnsi="仿宋" w:cs="仿宋"/>
          <w:b/>
          <w:bCs/>
          <w:kern w:val="0"/>
        </w:rPr>
        <w:t>项目建设按期开工率：</w:t>
      </w:r>
      <w:r>
        <w:rPr>
          <w:rFonts w:ascii="仿宋" w:hAnsi="仿宋" w:cs="仿宋"/>
          <w:kern w:val="0"/>
        </w:rPr>
        <w:t>目标值为全部项目在合同约定期限内开工。标段一合同约定计划开工时间为2023年6月25日，2023年6月20日，项目监理公司下达项目标段一开工令，在合同约定期限内开工；标段二合同约定计划开工时间为2023年5月22日，截止评价日，项目第二标段还未正式开工。本指标扣分4分。</w:t>
      </w:r>
    </w:p>
    <w:p>
      <w:pPr>
        <w:shd w:val="clear" w:fill="FFFFFF"/>
        <w:ind w:firstLine="610"/>
        <w:rPr>
          <w:rFonts w:ascii="仿宋" w:hAnsi="仿宋" w:cs="仿宋"/>
          <w:kern w:val="0"/>
        </w:rPr>
      </w:pPr>
      <w:r>
        <w:rPr>
          <w:rFonts w:ascii="仿宋" w:hAnsi="仿宋" w:cs="仿宋"/>
          <w:b/>
          <w:bCs/>
          <w:kern w:val="0"/>
        </w:rPr>
        <w:t>土地平整率：</w:t>
      </w:r>
      <w:r>
        <w:rPr>
          <w:rFonts w:ascii="仿宋" w:hAnsi="仿宋" w:cs="仿宋"/>
          <w:kern w:val="0"/>
        </w:rPr>
        <w:t>目标值为2022年完成项目用地土地平整任务。经核查本项任务如期完成。</w:t>
      </w:r>
    </w:p>
    <w:p>
      <w:pPr>
        <w:shd w:val="clear" w:fill="FFFFFF"/>
        <w:ind w:firstLine="610"/>
        <w:rPr>
          <w:rFonts w:ascii="仿宋" w:hAnsi="仿宋" w:cs="仿宋"/>
          <w:kern w:val="0"/>
        </w:rPr>
      </w:pPr>
      <w:r>
        <w:rPr>
          <w:rFonts w:ascii="仿宋" w:hAnsi="仿宋" w:cs="仿宋"/>
          <w:b/>
          <w:bCs/>
          <w:kern w:val="0"/>
        </w:rPr>
        <w:t>工程验收合格率：</w:t>
      </w:r>
      <w:r>
        <w:rPr>
          <w:rFonts w:ascii="仿宋" w:hAnsi="仿宋" w:cs="仿宋"/>
          <w:kern w:val="0"/>
        </w:rPr>
        <w:t>目标值为分项工程验收合格率100%。项目阶段性工程如土地平整、三通一平等工程验收均合格。</w:t>
      </w:r>
    </w:p>
    <w:p>
      <w:pPr>
        <w:shd w:val="clear" w:fill="FFFFFF"/>
        <w:ind w:firstLine="610"/>
        <w:rPr>
          <w:rFonts w:ascii="仿宋" w:hAnsi="仿宋" w:cs="仿宋"/>
          <w:kern w:val="0"/>
        </w:rPr>
      </w:pPr>
      <w:r>
        <w:rPr>
          <w:rFonts w:ascii="仿宋" w:hAnsi="仿宋" w:cs="仿宋"/>
          <w:b/>
          <w:bCs/>
          <w:kern w:val="0"/>
        </w:rPr>
        <w:t>建设进度及时性：</w:t>
      </w:r>
      <w:r>
        <w:rPr>
          <w:rFonts w:ascii="仿宋" w:hAnsi="仿宋" w:cs="仿宋"/>
          <w:kern w:val="0"/>
        </w:rPr>
        <w:t>目标值为按照合同计划时间开工并完成年度建设任务。标段二合同约定计划开工时间为2023年5月22日，截止评价日，项目第二标段还未正式开工，已晚于合同约定的开工时间2个月，必定会影响整体工程建设进度，扣1分。</w:t>
      </w:r>
    </w:p>
    <w:p>
      <w:pPr>
        <w:pStyle w:val="5"/>
        <w:shd w:val="clear" w:fill="FFFFFF"/>
        <w:spacing w:before="0" w:after="0" w:line="560" w:lineRule="exact"/>
        <w:ind w:firstLine="610"/>
        <w:rPr>
          <w:rFonts w:eastAsia="楷体"/>
          <w:kern w:val="0"/>
        </w:rPr>
      </w:pPr>
      <w:bookmarkStart w:id="25" w:name="__RefHeading___Toc142235574"/>
      <w:bookmarkEnd w:id="25"/>
      <w:r>
        <w:rPr>
          <w:rFonts w:eastAsia="楷体"/>
          <w:kern w:val="0"/>
        </w:rPr>
        <w:t>2.3.4效益情况分析</w:t>
      </w:r>
    </w:p>
    <w:p>
      <w:pPr>
        <w:shd w:val="clear" w:fill="FFFFFF"/>
        <w:ind w:firstLine="607"/>
        <w:rPr>
          <w:rFonts w:ascii="仿宋" w:hAnsi="仿宋" w:cs="仿宋"/>
          <w:kern w:val="0"/>
        </w:rPr>
      </w:pPr>
      <w:r>
        <w:rPr>
          <w:rFonts w:ascii="仿宋" w:hAnsi="仿宋" w:cs="仿宋"/>
          <w:kern w:val="0"/>
        </w:rPr>
        <w:t>效果指标从社会效益、生态效益、可持续影响三个方面对项目进行</w:t>
      </w:r>
      <w:r>
        <w:rPr>
          <w:rFonts w:hint="eastAsia" w:ascii="仿宋" w:hAnsi="仿宋" w:cs="仿宋"/>
          <w:kern w:val="0"/>
          <w:lang w:val="en-US" w:eastAsia="zh-CN"/>
        </w:rPr>
        <w:t>考核</w:t>
      </w:r>
      <w:r>
        <w:rPr>
          <w:rFonts w:ascii="仿宋" w:hAnsi="仿宋" w:cs="仿宋"/>
          <w:kern w:val="0"/>
        </w:rPr>
        <w:t>，效果指标分值共计30分，本项目实际得分30分，得分率为100%。各指标的实际得分情况详见表2.6。</w:t>
      </w:r>
    </w:p>
    <w:p>
      <w:pPr>
        <w:shd w:val="clear" w:fill="FFFFFF"/>
        <w:ind w:firstLine="607"/>
        <w:jc w:val="center"/>
        <w:rPr>
          <w:rFonts w:ascii="仿宋" w:hAnsi="仿宋" w:cs="仿宋"/>
          <w:kern w:val="0"/>
        </w:rPr>
      </w:pPr>
      <w:r>
        <w:rPr>
          <w:rFonts w:ascii="仿宋" w:hAnsi="仿宋" w:cs="仿宋"/>
          <w:kern w:val="0"/>
        </w:rPr>
        <w:t>表2.6 效果指标得分情况</w:t>
      </w:r>
    </w:p>
    <w:tbl>
      <w:tblPr>
        <w:tblStyle w:val="19"/>
        <w:tblW w:w="8699" w:type="dxa"/>
        <w:tblInd w:w="0" w:type="dxa"/>
        <w:tblLayout w:type="fixed"/>
        <w:tblCellMar>
          <w:top w:w="0" w:type="dxa"/>
          <w:left w:w="108" w:type="dxa"/>
          <w:bottom w:w="0" w:type="dxa"/>
          <w:right w:w="108" w:type="dxa"/>
        </w:tblCellMar>
      </w:tblPr>
      <w:tblGrid>
        <w:gridCol w:w="1852"/>
        <w:gridCol w:w="3730"/>
        <w:gridCol w:w="873"/>
        <w:gridCol w:w="893"/>
        <w:gridCol w:w="1351"/>
      </w:tblGrid>
      <w:tr>
        <w:tblPrEx>
          <w:tblLayout w:type="fixed"/>
          <w:tblCellMar>
            <w:top w:w="0" w:type="dxa"/>
            <w:left w:w="108" w:type="dxa"/>
            <w:bottom w:w="0" w:type="dxa"/>
            <w:right w:w="108" w:type="dxa"/>
          </w:tblCellMar>
        </w:tblPrEx>
        <w:trPr>
          <w:trHeight w:val="454" w:hRule="atLeast"/>
          <w:tblHeader/>
        </w:trPr>
        <w:tc>
          <w:tcPr>
            <w:tcW w:w="18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二级指标</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三级指标</w:t>
            </w:r>
          </w:p>
        </w:tc>
        <w:tc>
          <w:tcPr>
            <w:tcW w:w="873" w:type="dxa"/>
            <w:tcBorders>
              <w:top w:val="single" w:color="000000" w:sz="4" w:space="0"/>
              <w:left w:val="single" w:color="000000" w:sz="4" w:space="0"/>
              <w:bottom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分值</w:t>
            </w:r>
          </w:p>
        </w:tc>
        <w:tc>
          <w:tcPr>
            <w:tcW w:w="8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评分</w:t>
            </w:r>
          </w:p>
        </w:tc>
        <w:tc>
          <w:tcPr>
            <w:tcW w:w="13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得分率</w:t>
            </w:r>
          </w:p>
        </w:tc>
      </w:tr>
      <w:tr>
        <w:tblPrEx>
          <w:tblLayout w:type="fixed"/>
          <w:tblCellMar>
            <w:top w:w="0" w:type="dxa"/>
            <w:left w:w="108" w:type="dxa"/>
            <w:bottom w:w="0" w:type="dxa"/>
            <w:right w:w="108" w:type="dxa"/>
          </w:tblCellMar>
        </w:tblPrEx>
        <w:trPr>
          <w:trHeight w:val="454" w:hRule="atLeast"/>
        </w:trPr>
        <w:tc>
          <w:tcPr>
            <w:tcW w:w="18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sz w:val="24"/>
                <w:szCs w:val="24"/>
              </w:rPr>
            </w:pPr>
            <w:r>
              <w:rPr>
                <w:rFonts w:ascii="仿宋" w:hAnsi="仿宋" w:cs="仿宋"/>
                <w:sz w:val="24"/>
                <w:szCs w:val="24"/>
              </w:rPr>
              <w:t>社会效益</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left"/>
              <w:textAlignment w:val="center"/>
              <w:rPr>
                <w:rFonts w:ascii="仿宋" w:hAnsi="仿宋" w:cs="仿宋"/>
                <w:kern w:val="0"/>
                <w:sz w:val="24"/>
                <w:szCs w:val="24"/>
                <w:lang w:bidi="ar"/>
              </w:rPr>
            </w:pPr>
            <w:r>
              <w:rPr>
                <w:rFonts w:ascii="仿宋" w:hAnsi="仿宋" w:cs="仿宋"/>
                <w:kern w:val="0"/>
                <w:sz w:val="24"/>
                <w:szCs w:val="24"/>
                <w:lang w:bidi="ar"/>
              </w:rPr>
              <w:t>施工安全保障</w:t>
            </w:r>
          </w:p>
        </w:tc>
        <w:tc>
          <w:tcPr>
            <w:tcW w:w="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100.00%</w:t>
            </w:r>
          </w:p>
        </w:tc>
      </w:tr>
      <w:tr>
        <w:tblPrEx>
          <w:tblLayout w:type="fixed"/>
          <w:tblCellMar>
            <w:top w:w="0" w:type="dxa"/>
            <w:left w:w="108" w:type="dxa"/>
            <w:bottom w:w="0" w:type="dxa"/>
            <w:right w:w="108" w:type="dxa"/>
          </w:tblCellMar>
        </w:tblPrEx>
        <w:trPr>
          <w:trHeight w:val="454" w:hRule="atLeast"/>
        </w:trPr>
        <w:tc>
          <w:tcPr>
            <w:tcW w:w="18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生态效益</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left"/>
              <w:textAlignment w:val="center"/>
              <w:rPr>
                <w:rFonts w:ascii="仿宋" w:hAnsi="仿宋" w:cs="仿宋"/>
                <w:kern w:val="0"/>
                <w:sz w:val="24"/>
                <w:szCs w:val="24"/>
                <w:lang w:bidi="ar"/>
              </w:rPr>
            </w:pPr>
            <w:r>
              <w:rPr>
                <w:rFonts w:ascii="仿宋" w:hAnsi="仿宋" w:cs="仿宋"/>
                <w:kern w:val="0"/>
                <w:sz w:val="24"/>
                <w:szCs w:val="24"/>
                <w:lang w:bidi="ar"/>
              </w:rPr>
              <w:t>生态环境保护</w:t>
            </w:r>
          </w:p>
        </w:tc>
        <w:tc>
          <w:tcPr>
            <w:tcW w:w="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100.00%</w:t>
            </w:r>
          </w:p>
        </w:tc>
      </w:tr>
      <w:tr>
        <w:tblPrEx>
          <w:tblLayout w:type="fixed"/>
          <w:tblCellMar>
            <w:top w:w="0" w:type="dxa"/>
            <w:left w:w="108" w:type="dxa"/>
            <w:bottom w:w="0" w:type="dxa"/>
            <w:right w:w="108" w:type="dxa"/>
          </w:tblCellMar>
        </w:tblPrEx>
        <w:trPr>
          <w:trHeight w:val="454" w:hRule="atLeast"/>
        </w:trPr>
        <w:tc>
          <w:tcPr>
            <w:tcW w:w="18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sz w:val="24"/>
                <w:szCs w:val="24"/>
              </w:rPr>
            </w:pPr>
            <w:r>
              <w:rPr>
                <w:rFonts w:ascii="仿宋" w:hAnsi="仿宋" w:cs="仿宋"/>
                <w:sz w:val="24"/>
                <w:szCs w:val="24"/>
              </w:rPr>
              <w:t>可持续性影响</w:t>
            </w:r>
          </w:p>
        </w:tc>
        <w:tc>
          <w:tcPr>
            <w:tcW w:w="37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left"/>
              <w:textAlignment w:val="center"/>
              <w:rPr>
                <w:rFonts w:ascii="仿宋" w:hAnsi="仿宋" w:cs="仿宋"/>
                <w:kern w:val="0"/>
                <w:sz w:val="24"/>
                <w:szCs w:val="24"/>
                <w:lang w:bidi="ar"/>
              </w:rPr>
            </w:pPr>
            <w:r>
              <w:rPr>
                <w:rFonts w:ascii="仿宋" w:hAnsi="仿宋" w:cs="仿宋"/>
                <w:kern w:val="0"/>
                <w:sz w:val="24"/>
                <w:szCs w:val="24"/>
                <w:lang w:bidi="ar"/>
              </w:rPr>
              <w:t>项目可持续性影响</w:t>
            </w:r>
          </w:p>
        </w:tc>
        <w:tc>
          <w:tcPr>
            <w:tcW w:w="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kern w:val="0"/>
                <w:sz w:val="24"/>
                <w:szCs w:val="24"/>
                <w:lang w:bidi="ar"/>
              </w:rPr>
            </w:pPr>
            <w:r>
              <w:rPr>
                <w:rFonts w:ascii="仿宋" w:hAnsi="仿宋" w:cs="仿宋"/>
                <w:kern w:val="0"/>
                <w:sz w:val="24"/>
                <w:szCs w:val="24"/>
                <w:lang w:bidi="ar"/>
              </w:rPr>
              <w:t>100.00%</w:t>
            </w:r>
          </w:p>
        </w:tc>
      </w:tr>
      <w:tr>
        <w:tblPrEx>
          <w:tblLayout w:type="fixed"/>
          <w:tblCellMar>
            <w:top w:w="0" w:type="dxa"/>
            <w:left w:w="108" w:type="dxa"/>
            <w:bottom w:w="0" w:type="dxa"/>
            <w:right w:w="108" w:type="dxa"/>
          </w:tblCellMar>
        </w:tblPrEx>
        <w:trPr>
          <w:trHeight w:val="454" w:hRule="atLeast"/>
        </w:trPr>
        <w:tc>
          <w:tcPr>
            <w:tcW w:w="558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449"/>
              <w:textAlignment w:val="center"/>
              <w:rPr>
                <w:rFonts w:ascii="仿宋" w:hAnsi="仿宋" w:cs="仿宋"/>
                <w:b/>
                <w:bCs/>
                <w:sz w:val="24"/>
                <w:szCs w:val="24"/>
              </w:rPr>
            </w:pPr>
            <w:r>
              <w:rPr>
                <w:rFonts w:ascii="仿宋" w:hAnsi="仿宋" w:cs="仿宋"/>
                <w:b/>
                <w:bCs/>
                <w:kern w:val="0"/>
                <w:sz w:val="24"/>
                <w:szCs w:val="24"/>
                <w:lang w:bidi="ar"/>
              </w:rPr>
              <w:t>合计</w:t>
            </w:r>
          </w:p>
        </w:tc>
        <w:tc>
          <w:tcPr>
            <w:tcW w:w="873" w:type="dxa"/>
            <w:tcBorders>
              <w:top w:val="single" w:color="000000" w:sz="4" w:space="0"/>
              <w:left w:val="single" w:color="000000" w:sz="4" w:space="0"/>
              <w:bottom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30</w:t>
            </w:r>
          </w:p>
        </w:tc>
        <w:tc>
          <w:tcPr>
            <w:tcW w:w="893" w:type="dxa"/>
            <w:tcBorders>
              <w:top w:val="single" w:color="000000" w:sz="4" w:space="0"/>
              <w:left w:val="single" w:color="000000" w:sz="4" w:space="0"/>
              <w:bottom w:val="single" w:color="000000" w:sz="4" w:space="0"/>
            </w:tcBorders>
            <w:shd w:val="clear" w:color="auto" w:fill="FFFFFF"/>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30</w:t>
            </w:r>
          </w:p>
        </w:tc>
        <w:tc>
          <w:tcPr>
            <w:tcW w:w="1351"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ind w:firstLine="0"/>
              <w:jc w:val="center"/>
              <w:textAlignment w:val="center"/>
              <w:rPr>
                <w:rFonts w:ascii="仿宋" w:hAnsi="仿宋" w:cs="仿宋"/>
                <w:b/>
                <w:bCs/>
                <w:sz w:val="24"/>
                <w:szCs w:val="24"/>
              </w:rPr>
            </w:pPr>
            <w:r>
              <w:rPr>
                <w:rFonts w:ascii="仿宋" w:hAnsi="仿宋" w:cs="仿宋"/>
                <w:b/>
                <w:bCs/>
                <w:kern w:val="0"/>
                <w:sz w:val="24"/>
                <w:szCs w:val="24"/>
                <w:lang w:bidi="ar"/>
              </w:rPr>
              <w:t>100.00%</w:t>
            </w:r>
          </w:p>
        </w:tc>
      </w:tr>
    </w:tbl>
    <w:p>
      <w:pPr>
        <w:shd w:val="clear" w:fill="FFFFFF"/>
        <w:ind w:firstLine="610"/>
        <w:rPr>
          <w:rFonts w:ascii="仿宋" w:hAnsi="仿宋" w:cs="仿宋"/>
          <w:kern w:val="0"/>
        </w:rPr>
      </w:pPr>
      <w:r>
        <w:rPr>
          <w:rFonts w:ascii="仿宋" w:hAnsi="仿宋" w:cs="仿宋"/>
          <w:b/>
          <w:bCs/>
          <w:kern w:val="0"/>
        </w:rPr>
        <w:t>施工安全保障：</w:t>
      </w:r>
      <w:r>
        <w:rPr>
          <w:rFonts w:ascii="仿宋" w:hAnsi="仿宋" w:cs="仿宋"/>
          <w:kern w:val="0"/>
        </w:rPr>
        <w:t>目标值为不发生重大事故或较大事故。本项目施工中未发生重大事故。</w:t>
      </w:r>
    </w:p>
    <w:p>
      <w:pPr>
        <w:shd w:val="clear" w:fill="FFFFFF"/>
        <w:ind w:firstLine="610"/>
        <w:rPr>
          <w:rFonts w:ascii="仿宋" w:hAnsi="仿宋" w:cs="仿宋"/>
          <w:kern w:val="0"/>
        </w:rPr>
      </w:pPr>
      <w:r>
        <w:rPr>
          <w:rFonts w:ascii="仿宋" w:hAnsi="仿宋" w:cs="仿宋"/>
          <w:b/>
          <w:bCs/>
          <w:kern w:val="0"/>
        </w:rPr>
        <w:t>生态环境保护：</w:t>
      </w:r>
      <w:r>
        <w:rPr>
          <w:rFonts w:ascii="仿宋" w:hAnsi="仿宋" w:cs="仿宋"/>
          <w:kern w:val="0"/>
        </w:rPr>
        <w:t>目标值为不发生环保投诉或事故。本项目施工中未发生环保投诉和处罚事件。</w:t>
      </w:r>
    </w:p>
    <w:p>
      <w:pPr>
        <w:pStyle w:val="61"/>
        <w:ind w:firstLine="610"/>
        <w:rPr>
          <w:rFonts w:ascii="仿宋" w:hAnsi="仿宋" w:cs="仿宋"/>
          <w:kern w:val="0"/>
        </w:rPr>
      </w:pPr>
      <w:r>
        <w:rPr>
          <w:rFonts w:ascii="仿宋" w:hAnsi="仿宋" w:cs="仿宋"/>
          <w:b/>
          <w:bCs/>
          <w:kern w:val="0"/>
        </w:rPr>
        <w:t>项目可持续性影响：</w:t>
      </w:r>
      <w:r>
        <w:rPr>
          <w:rFonts w:ascii="仿宋" w:hAnsi="仿宋" w:cs="仿宋"/>
        </w:rPr>
        <w:t>应急物资储备中心项目建成后，将成为储备品种齐全的综合性物资储备仓库，推动全区域物资储备专业化提升，补齐应急物资储备短板，实现应急物资的整合、共建共享和快捷调运，储备布局更加优化，安全保障更加有力，对于保障人民群众生命财产安全，促进社会可持续发展具有重要意义。</w:t>
      </w:r>
    </w:p>
    <w:p>
      <w:pPr>
        <w:shd w:val="clear" w:fill="FFFFFF"/>
        <w:ind w:firstLine="607"/>
        <w:jc w:val="left"/>
        <w:rPr>
          <w:rFonts w:ascii="仿宋" w:hAnsi="仿宋" w:cs="仿宋"/>
          <w:bCs/>
          <w:kern w:val="0"/>
        </w:rPr>
      </w:pPr>
    </w:p>
    <w:p>
      <w:pPr>
        <w:pStyle w:val="4"/>
        <w:shd w:val="clear" w:fill="FFFFFF"/>
        <w:spacing w:before="0" w:after="0" w:line="560" w:lineRule="exact"/>
        <w:ind w:firstLine="610"/>
        <w:contextualSpacing/>
        <w:jc w:val="left"/>
        <w:rPr>
          <w:rFonts w:ascii="Times New Roman" w:hAnsi="Times New Roman" w:eastAsia="楷体" w:cs="Times New Roman"/>
        </w:rPr>
      </w:pPr>
      <w:bookmarkStart w:id="26" w:name="__RefHeading___Toc142235575"/>
      <w:bookmarkEnd w:id="26"/>
      <w:r>
        <w:rPr>
          <w:rFonts w:ascii="Times New Roman" w:hAnsi="Times New Roman" w:eastAsia="楷体" w:cs="Times New Roman"/>
        </w:rPr>
        <w:t>2.4上年度评价结果应用情况</w:t>
      </w:r>
    </w:p>
    <w:p>
      <w:pPr>
        <w:numPr>
          <w:ilvl w:val="0"/>
          <w:numId w:val="0"/>
        </w:numPr>
        <w:shd w:val="clear" w:fill="FFFFFF"/>
        <w:ind w:firstLine="607"/>
        <w:outlineLvl w:val="1"/>
        <w:rPr>
          <w:kern w:val="0"/>
        </w:rPr>
      </w:pPr>
      <w:r>
        <w:rPr>
          <w:kern w:val="0"/>
        </w:rPr>
        <w:t>本项目为2022年新增项目，上年度未开展绩效自评。</w:t>
      </w:r>
    </w:p>
    <w:p>
      <w:pPr>
        <w:numPr>
          <w:ilvl w:val="0"/>
          <w:numId w:val="0"/>
        </w:numPr>
        <w:shd w:val="clear" w:fill="FFFFFF"/>
        <w:ind w:firstLine="610"/>
        <w:outlineLvl w:val="1"/>
        <w:rPr>
          <w:rFonts w:eastAsia="楷体"/>
          <w:b/>
          <w:bCs/>
        </w:rPr>
      </w:pPr>
      <w:bookmarkStart w:id="27" w:name="__RefHeading___Toc142235577"/>
      <w:bookmarkEnd w:id="27"/>
      <w:r>
        <w:rPr>
          <w:rFonts w:eastAsia="楷体"/>
          <w:b/>
          <w:bCs/>
        </w:rPr>
        <w:t>2.5其他佐证材料</w:t>
      </w:r>
    </w:p>
    <w:p>
      <w:pPr>
        <w:numPr>
          <w:ilvl w:val="0"/>
          <w:numId w:val="0"/>
        </w:numPr>
        <w:shd w:val="clear" w:fill="FFFFFF"/>
        <w:ind w:firstLine="607"/>
        <w:outlineLvl w:val="1"/>
        <w:rPr>
          <w:kern w:val="0"/>
        </w:rPr>
      </w:pPr>
      <w:r>
        <w:rPr>
          <w:kern w:val="0"/>
        </w:rPr>
        <w:t>附件1：应急救援中心建设项目绩效评价指标体系</w:t>
      </w:r>
    </w:p>
    <w:p>
      <w:pPr>
        <w:numPr>
          <w:ilvl w:val="0"/>
          <w:numId w:val="0"/>
        </w:numPr>
        <w:shd w:val="clear" w:fill="FFFFFF"/>
        <w:ind w:firstLine="607"/>
        <w:outlineLvl w:val="1"/>
        <w:rPr>
          <w:kern w:val="0"/>
        </w:rPr>
      </w:pPr>
      <w:r>
        <w:rPr>
          <w:kern w:val="0"/>
        </w:rPr>
        <w:t>附件2：应急救援中心建设项目申报书</w:t>
      </w:r>
    </w:p>
    <w:p>
      <w:pPr>
        <w:numPr>
          <w:ilvl w:val="0"/>
          <w:numId w:val="0"/>
        </w:numPr>
        <w:shd w:val="clear" w:fill="FFFFFF"/>
        <w:ind w:firstLine="607"/>
        <w:outlineLvl w:val="1"/>
        <w:rPr>
          <w:kern w:val="0"/>
        </w:rPr>
      </w:pPr>
      <w:r>
        <w:rPr>
          <w:kern w:val="0"/>
        </w:rPr>
        <w:t>附件3：应急救援中心建设项目支出明细表</w:t>
      </w:r>
    </w:p>
    <w:p>
      <w:pPr>
        <w:numPr>
          <w:ilvl w:val="0"/>
          <w:numId w:val="0"/>
        </w:numPr>
        <w:shd w:val="clear" w:fill="FFFFFF"/>
        <w:ind w:firstLine="607"/>
        <w:outlineLvl w:val="1"/>
        <w:rPr>
          <w:kern w:val="0"/>
        </w:rPr>
        <w:sectPr>
          <w:headerReference r:id="rId8" w:type="default"/>
          <w:footerReference r:id="rId9" w:type="default"/>
          <w:pgSz w:w="11906" w:h="16838"/>
          <w:pgMar w:top="2098" w:right="1474" w:bottom="1984" w:left="1587" w:header="851" w:footer="1304" w:gutter="0"/>
          <w:pgNumType w:fmt="decimal"/>
          <w:formProt w:val="0"/>
          <w:docGrid w:type="linesAndChars" w:linePitch="610" w:charSpace="-3482"/>
        </w:sectPr>
      </w:pPr>
      <w:r>
        <w:rPr>
          <w:kern w:val="0"/>
        </w:rPr>
        <w:t>附件4：应急救援中心建设项目现场访谈、调查照片</w:t>
      </w:r>
    </w:p>
    <w:p>
      <w:pPr>
        <w:pStyle w:val="4"/>
        <w:shd w:val="clear" w:fill="FFFFFF"/>
        <w:spacing w:before="0" w:after="0" w:line="560" w:lineRule="exact"/>
        <w:ind w:firstLine="610"/>
        <w:contextualSpacing/>
        <w:jc w:val="left"/>
        <w:rPr>
          <w:rFonts w:ascii="Times New Roman" w:hAnsi="Times New Roman" w:eastAsia="楷体" w:cs="Times New Roman"/>
        </w:rPr>
      </w:pPr>
      <w:bookmarkStart w:id="28" w:name="__RefHeading___Toc142235582"/>
      <w:bookmarkEnd w:id="28"/>
      <w:r>
        <w:rPr>
          <w:rFonts w:ascii="Times New Roman" w:hAnsi="Times New Roman" w:eastAsia="楷体" w:cs="Times New Roman"/>
        </w:rPr>
        <w:t>附件1绩效评价指标体系评分明细表</w:t>
      </w:r>
    </w:p>
    <w:p>
      <w:pPr>
        <w:ind w:firstLine="0"/>
        <w:jc w:val="center"/>
      </w:pPr>
      <w:r>
        <w:rPr>
          <w:rFonts w:eastAsia="楷体"/>
        </w:rPr>
        <w:t>应急救援中心项目绩效评价指标体系评分明细表</w:t>
      </w:r>
    </w:p>
    <w:tbl>
      <w:tblPr>
        <w:tblStyle w:val="19"/>
        <w:tblW w:w="12271" w:type="dxa"/>
        <w:jc w:val="center"/>
        <w:tblInd w:w="0" w:type="dxa"/>
        <w:tblLayout w:type="fixed"/>
        <w:tblCellMar>
          <w:top w:w="0" w:type="dxa"/>
          <w:left w:w="108" w:type="dxa"/>
          <w:bottom w:w="0" w:type="dxa"/>
          <w:right w:w="108" w:type="dxa"/>
        </w:tblCellMar>
      </w:tblPr>
      <w:tblGrid>
        <w:gridCol w:w="562"/>
        <w:gridCol w:w="518"/>
        <w:gridCol w:w="558"/>
        <w:gridCol w:w="532"/>
        <w:gridCol w:w="780"/>
        <w:gridCol w:w="515"/>
        <w:gridCol w:w="2053"/>
        <w:gridCol w:w="2775"/>
        <w:gridCol w:w="3335"/>
        <w:gridCol w:w="643"/>
      </w:tblGrid>
      <w:tr>
        <w:tblPrEx>
          <w:tblLayout w:type="fixed"/>
          <w:tblCellMar>
            <w:top w:w="0" w:type="dxa"/>
            <w:left w:w="108" w:type="dxa"/>
            <w:bottom w:w="0" w:type="dxa"/>
            <w:right w:w="108" w:type="dxa"/>
          </w:tblCellMar>
        </w:tblPrEx>
        <w:trPr>
          <w:trHeight w:val="260" w:hRule="atLeast"/>
          <w:tblHeader/>
          <w:jc w:val="center"/>
        </w:trPr>
        <w:tc>
          <w:tcPr>
            <w:tcW w:w="108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b/>
                <w:bCs/>
                <w:sz w:val="20"/>
                <w:szCs w:val="20"/>
              </w:rPr>
            </w:pPr>
            <w:r>
              <w:rPr>
                <w:rFonts w:cs="仿宋"/>
                <w:b/>
                <w:bCs/>
                <w:kern w:val="0"/>
                <w:sz w:val="20"/>
                <w:szCs w:val="20"/>
                <w:lang w:bidi="ar"/>
              </w:rPr>
              <w:t>一级指标</w:t>
            </w:r>
          </w:p>
        </w:tc>
        <w:tc>
          <w:tcPr>
            <w:tcW w:w="10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b/>
                <w:bCs/>
                <w:sz w:val="20"/>
                <w:szCs w:val="20"/>
              </w:rPr>
            </w:pPr>
            <w:r>
              <w:rPr>
                <w:rFonts w:cs="仿宋"/>
                <w:b/>
                <w:bCs/>
                <w:kern w:val="0"/>
                <w:sz w:val="20"/>
                <w:szCs w:val="20"/>
                <w:lang w:bidi="ar"/>
              </w:rPr>
              <w:t>二级指标</w:t>
            </w:r>
          </w:p>
        </w:tc>
        <w:tc>
          <w:tcPr>
            <w:tcW w:w="129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b/>
                <w:bCs/>
                <w:sz w:val="20"/>
                <w:szCs w:val="20"/>
              </w:rPr>
            </w:pPr>
            <w:r>
              <w:rPr>
                <w:rFonts w:cs="仿宋"/>
                <w:b/>
                <w:bCs/>
                <w:kern w:val="0"/>
                <w:sz w:val="20"/>
                <w:szCs w:val="20"/>
                <w:lang w:bidi="ar"/>
              </w:rPr>
              <w:t>三级指标</w:t>
            </w:r>
          </w:p>
        </w:tc>
        <w:tc>
          <w:tcPr>
            <w:tcW w:w="205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b/>
                <w:bCs/>
                <w:sz w:val="20"/>
                <w:szCs w:val="20"/>
              </w:rPr>
            </w:pPr>
            <w:r>
              <w:rPr>
                <w:rFonts w:cs="仿宋"/>
                <w:b/>
                <w:bCs/>
                <w:kern w:val="0"/>
                <w:sz w:val="20"/>
                <w:szCs w:val="20"/>
                <w:lang w:bidi="ar"/>
              </w:rPr>
              <w:t>指标解释</w:t>
            </w:r>
          </w:p>
        </w:tc>
        <w:tc>
          <w:tcPr>
            <w:tcW w:w="277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b/>
                <w:bCs/>
                <w:sz w:val="20"/>
                <w:szCs w:val="20"/>
              </w:rPr>
            </w:pPr>
            <w:r>
              <w:rPr>
                <w:rFonts w:cs="仿宋"/>
                <w:b/>
                <w:bCs/>
                <w:kern w:val="0"/>
                <w:sz w:val="20"/>
                <w:szCs w:val="20"/>
                <w:lang w:bidi="ar"/>
              </w:rPr>
              <w:t>指标说明及评分标准</w:t>
            </w:r>
          </w:p>
        </w:tc>
        <w:tc>
          <w:tcPr>
            <w:tcW w:w="333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b/>
                <w:bCs/>
                <w:sz w:val="20"/>
                <w:szCs w:val="20"/>
              </w:rPr>
            </w:pPr>
            <w:r>
              <w:rPr>
                <w:rFonts w:cs="仿宋"/>
                <w:b/>
                <w:bCs/>
                <w:kern w:val="0"/>
                <w:sz w:val="20"/>
                <w:szCs w:val="20"/>
                <w:lang w:bidi="ar"/>
              </w:rPr>
              <w:t>评价情况</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b/>
                <w:bCs/>
                <w:sz w:val="20"/>
                <w:szCs w:val="20"/>
              </w:rPr>
            </w:pPr>
            <w:r>
              <w:rPr>
                <w:rFonts w:cs="仿宋"/>
                <w:b/>
                <w:bCs/>
                <w:kern w:val="0"/>
                <w:sz w:val="20"/>
                <w:szCs w:val="20"/>
                <w:lang w:bidi="ar"/>
              </w:rPr>
              <w:t>评分</w:t>
            </w:r>
          </w:p>
        </w:tc>
      </w:tr>
      <w:tr>
        <w:tblPrEx>
          <w:tblLayout w:type="fixed"/>
          <w:tblCellMar>
            <w:top w:w="0" w:type="dxa"/>
            <w:left w:w="108" w:type="dxa"/>
            <w:bottom w:w="0" w:type="dxa"/>
            <w:right w:w="108" w:type="dxa"/>
          </w:tblCellMar>
        </w:tblPrEx>
        <w:trPr>
          <w:trHeight w:val="471" w:hRule="atLeast"/>
          <w:tblHeader/>
          <w:jc w:val="center"/>
        </w:trPr>
        <w:tc>
          <w:tcPr>
            <w:tcW w:w="56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b/>
                <w:bCs/>
                <w:sz w:val="20"/>
                <w:szCs w:val="20"/>
              </w:rPr>
            </w:pPr>
            <w:r>
              <w:rPr>
                <w:rFonts w:cs="仿宋"/>
                <w:b/>
                <w:bCs/>
                <w:kern w:val="0"/>
                <w:sz w:val="20"/>
                <w:szCs w:val="20"/>
                <w:lang w:bidi="ar"/>
              </w:rPr>
              <w:t>名称</w:t>
            </w:r>
          </w:p>
        </w:tc>
        <w:tc>
          <w:tcPr>
            <w:tcW w:w="51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b/>
                <w:bCs/>
                <w:sz w:val="20"/>
                <w:szCs w:val="20"/>
              </w:rPr>
            </w:pPr>
            <w:r>
              <w:rPr>
                <w:rFonts w:cs="仿宋"/>
                <w:b/>
                <w:bCs/>
                <w:kern w:val="0"/>
                <w:sz w:val="20"/>
                <w:szCs w:val="20"/>
                <w:lang w:bidi="ar"/>
              </w:rPr>
              <w:t>分值</w:t>
            </w:r>
          </w:p>
        </w:tc>
        <w:tc>
          <w:tcPr>
            <w:tcW w:w="55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b/>
                <w:bCs/>
                <w:sz w:val="20"/>
                <w:szCs w:val="20"/>
              </w:rPr>
            </w:pPr>
            <w:r>
              <w:rPr>
                <w:rFonts w:cs="仿宋"/>
                <w:b/>
                <w:bCs/>
                <w:kern w:val="0"/>
                <w:sz w:val="20"/>
                <w:szCs w:val="20"/>
                <w:lang w:bidi="ar"/>
              </w:rPr>
              <w:t>名称</w:t>
            </w:r>
          </w:p>
        </w:tc>
        <w:tc>
          <w:tcPr>
            <w:tcW w:w="53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b/>
                <w:bCs/>
                <w:sz w:val="20"/>
                <w:szCs w:val="20"/>
              </w:rPr>
            </w:pPr>
            <w:r>
              <w:rPr>
                <w:rFonts w:cs="仿宋"/>
                <w:b/>
                <w:bCs/>
                <w:kern w:val="0"/>
                <w:sz w:val="20"/>
                <w:szCs w:val="20"/>
                <w:lang w:bidi="ar"/>
              </w:rPr>
              <w:t>分值</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b/>
                <w:bCs/>
                <w:sz w:val="20"/>
                <w:szCs w:val="20"/>
              </w:rPr>
            </w:pPr>
            <w:r>
              <w:rPr>
                <w:rFonts w:cs="仿宋"/>
                <w:b/>
                <w:bCs/>
                <w:kern w:val="0"/>
                <w:sz w:val="20"/>
                <w:szCs w:val="20"/>
                <w:lang w:bidi="ar"/>
              </w:rPr>
              <w:t>名称</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b/>
                <w:bCs/>
                <w:sz w:val="20"/>
                <w:szCs w:val="20"/>
              </w:rPr>
            </w:pPr>
            <w:r>
              <w:rPr>
                <w:rFonts w:cs="仿宋"/>
                <w:b/>
                <w:bCs/>
                <w:kern w:val="0"/>
                <w:sz w:val="20"/>
                <w:szCs w:val="20"/>
                <w:lang w:bidi="ar"/>
              </w:rPr>
              <w:t>分值</w:t>
            </w:r>
          </w:p>
        </w:tc>
        <w:tc>
          <w:tcPr>
            <w:tcW w:w="2053"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b/>
                <w:bCs/>
                <w:sz w:val="20"/>
                <w:szCs w:val="20"/>
              </w:rPr>
            </w:pPr>
          </w:p>
        </w:tc>
        <w:tc>
          <w:tcPr>
            <w:tcW w:w="277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b/>
                <w:bCs/>
                <w:sz w:val="20"/>
                <w:szCs w:val="20"/>
              </w:rPr>
            </w:pPr>
          </w:p>
        </w:tc>
        <w:tc>
          <w:tcPr>
            <w:tcW w:w="333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b/>
                <w:bCs/>
                <w:sz w:val="20"/>
                <w:szCs w:val="20"/>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b/>
                <w:bCs/>
                <w:sz w:val="20"/>
                <w:szCs w:val="20"/>
              </w:rPr>
            </w:pPr>
          </w:p>
        </w:tc>
      </w:tr>
      <w:tr>
        <w:tblPrEx>
          <w:tblLayout w:type="fixed"/>
          <w:tblCellMar>
            <w:top w:w="0" w:type="dxa"/>
            <w:left w:w="108" w:type="dxa"/>
            <w:bottom w:w="0" w:type="dxa"/>
            <w:right w:w="108" w:type="dxa"/>
          </w:tblCellMar>
        </w:tblPrEx>
        <w:trPr>
          <w:trHeight w:val="2700" w:hRule="atLeast"/>
          <w:jc w:val="center"/>
        </w:trPr>
        <w:tc>
          <w:tcPr>
            <w:tcW w:w="56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决策　</w:t>
            </w:r>
          </w:p>
        </w:tc>
        <w:tc>
          <w:tcPr>
            <w:tcW w:w="51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20</w:t>
            </w:r>
          </w:p>
        </w:tc>
        <w:tc>
          <w:tcPr>
            <w:tcW w:w="55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项目立项　</w:t>
            </w:r>
          </w:p>
        </w:tc>
        <w:tc>
          <w:tcPr>
            <w:tcW w:w="5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6</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立项依据充分性</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3</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项目立项是否符合法律法规、相关政策、发展规划以及部门职责，用以反映和考核项目立项依据情况。</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kern w:val="0"/>
                <w:sz w:val="20"/>
                <w:szCs w:val="20"/>
                <w:lang w:bidi="ar"/>
              </w:rPr>
              <w:t>评价要点：</w:t>
            </w:r>
            <w:r>
              <w:rPr>
                <w:rFonts w:cs="仿宋"/>
                <w:kern w:val="0"/>
                <w:sz w:val="20"/>
                <w:szCs w:val="20"/>
                <w:lang w:bidi="ar"/>
              </w:rPr>
              <w:br w:type="textWrapping"/>
            </w:r>
            <w:r>
              <w:rPr>
                <w:rFonts w:ascii="仿宋" w:hAnsi="仿宋" w:cs="仿宋"/>
                <w:kern w:val="0"/>
                <w:sz w:val="20"/>
                <w:szCs w:val="20"/>
                <w:lang w:bidi="ar"/>
              </w:rPr>
              <w:t>①</w:t>
            </w:r>
            <w:r>
              <w:rPr>
                <w:rFonts w:cs="仿宋"/>
                <w:kern w:val="0"/>
                <w:sz w:val="20"/>
                <w:szCs w:val="20"/>
                <w:lang w:bidi="ar"/>
              </w:rPr>
              <w:t>项目立项是否符合国家法律法规、国民经济发展规划和相关政策（0.5分）；</w:t>
            </w:r>
            <w:r>
              <w:rPr>
                <w:rFonts w:cs="仿宋"/>
                <w:kern w:val="0"/>
                <w:sz w:val="20"/>
                <w:szCs w:val="20"/>
                <w:lang w:bidi="ar"/>
              </w:rPr>
              <w:br w:type="textWrapping"/>
            </w:r>
            <w:r>
              <w:rPr>
                <w:rFonts w:ascii="仿宋" w:hAnsi="仿宋" w:cs="仿宋"/>
                <w:kern w:val="0"/>
                <w:sz w:val="20"/>
                <w:szCs w:val="20"/>
                <w:lang w:bidi="ar"/>
              </w:rPr>
              <w:t>②</w:t>
            </w:r>
            <w:r>
              <w:rPr>
                <w:rFonts w:cs="仿宋"/>
                <w:kern w:val="0"/>
                <w:sz w:val="20"/>
                <w:szCs w:val="20"/>
                <w:lang w:bidi="ar"/>
              </w:rPr>
              <w:t>项目立项是否符合行业发展规划和政策要求（0.5分）；</w:t>
            </w:r>
            <w:r>
              <w:rPr>
                <w:rFonts w:cs="仿宋"/>
                <w:kern w:val="0"/>
                <w:sz w:val="20"/>
                <w:szCs w:val="20"/>
                <w:lang w:bidi="ar"/>
              </w:rPr>
              <w:br w:type="textWrapping"/>
            </w:r>
            <w:r>
              <w:rPr>
                <w:rFonts w:ascii="仿宋" w:hAnsi="仿宋" w:cs="仿宋"/>
                <w:kern w:val="0"/>
                <w:sz w:val="20"/>
                <w:szCs w:val="20"/>
                <w:lang w:bidi="ar"/>
              </w:rPr>
              <w:t>③</w:t>
            </w:r>
            <w:r>
              <w:rPr>
                <w:rFonts w:cs="仿宋"/>
                <w:kern w:val="0"/>
                <w:sz w:val="20"/>
                <w:szCs w:val="20"/>
                <w:lang w:bidi="ar"/>
              </w:rPr>
              <w:t>项目立项与部门职责范围相符，属于部门履职所需（0.5分）；</w:t>
            </w:r>
            <w:r>
              <w:rPr>
                <w:rFonts w:cs="仿宋"/>
                <w:kern w:val="0"/>
                <w:sz w:val="20"/>
                <w:szCs w:val="20"/>
                <w:lang w:bidi="ar"/>
              </w:rPr>
              <w:br w:type="textWrapping"/>
            </w:r>
            <w:r>
              <w:rPr>
                <w:rFonts w:ascii="仿宋" w:hAnsi="仿宋" w:cs="仿宋"/>
                <w:kern w:val="0"/>
                <w:sz w:val="20"/>
                <w:szCs w:val="20"/>
                <w:lang w:bidi="ar"/>
              </w:rPr>
              <w:t>④</w:t>
            </w:r>
            <w:r>
              <w:rPr>
                <w:rFonts w:cs="仿宋"/>
                <w:kern w:val="0"/>
                <w:sz w:val="20"/>
                <w:szCs w:val="20"/>
                <w:lang w:bidi="ar"/>
              </w:rPr>
              <w:t>项目属于公共财政</w:t>
            </w:r>
            <w:r>
              <w:rPr>
                <w:rFonts w:hint="eastAsia" w:cs="仿宋"/>
                <w:kern w:val="0"/>
                <w:sz w:val="20"/>
                <w:szCs w:val="20"/>
                <w:lang w:val="en-US" w:eastAsia="zh-CN" w:bidi="ar"/>
              </w:rPr>
              <w:t>支出</w:t>
            </w:r>
            <w:r>
              <w:rPr>
                <w:rFonts w:cs="仿宋"/>
                <w:kern w:val="0"/>
                <w:sz w:val="20"/>
                <w:szCs w:val="20"/>
                <w:lang w:bidi="ar"/>
              </w:rPr>
              <w:t>范围，是否符合中央、地方事权支出责任划分原则（0.5分）；</w:t>
            </w:r>
            <w:r>
              <w:rPr>
                <w:rFonts w:cs="仿宋"/>
                <w:kern w:val="0"/>
                <w:sz w:val="20"/>
                <w:szCs w:val="20"/>
                <w:lang w:bidi="ar"/>
              </w:rPr>
              <w:br w:type="textWrapping"/>
            </w:r>
            <w:r>
              <w:rPr>
                <w:rFonts w:ascii="仿宋" w:hAnsi="仿宋" w:cs="仿宋"/>
                <w:kern w:val="0"/>
                <w:sz w:val="20"/>
                <w:szCs w:val="20"/>
                <w:lang w:bidi="ar"/>
              </w:rPr>
              <w:t>⑤</w:t>
            </w:r>
            <w:r>
              <w:rPr>
                <w:rFonts w:cs="仿宋"/>
                <w:kern w:val="0"/>
                <w:sz w:val="20"/>
                <w:szCs w:val="20"/>
                <w:lang w:bidi="ar"/>
              </w:rPr>
              <w:t>项目是否符合债券支持领域和方向（1分）。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sz w:val="20"/>
                <w:szCs w:val="20"/>
              </w:rPr>
              <w:t>项目立项符合崇阳县应急管理局事业发展</w:t>
            </w:r>
            <w:r>
              <w:rPr>
                <w:rFonts w:hint="eastAsia" w:cs="仿宋"/>
                <w:sz w:val="20"/>
                <w:szCs w:val="20"/>
              </w:rPr>
              <w:t>“十四五”</w:t>
            </w:r>
            <w:r>
              <w:rPr>
                <w:rFonts w:cs="仿宋"/>
                <w:sz w:val="20"/>
                <w:szCs w:val="20"/>
              </w:rPr>
              <w:t>规划；与崇阳县应急管理局职责范围相符，属于部门履职所需；属于公共财政</w:t>
            </w:r>
            <w:r>
              <w:rPr>
                <w:rFonts w:hint="eastAsia" w:cs="仿宋"/>
                <w:sz w:val="20"/>
                <w:szCs w:val="20"/>
                <w:lang w:val="en-US" w:eastAsia="zh-CN"/>
              </w:rPr>
              <w:t>支出</w:t>
            </w:r>
            <w:r>
              <w:rPr>
                <w:rFonts w:cs="仿宋"/>
                <w:sz w:val="20"/>
                <w:szCs w:val="20"/>
              </w:rPr>
              <w:t>范围，符合中央、地方事权支出责任划分原则；本项目投向领域为社会公益事业领域，符合财政部、国家</w:t>
            </w:r>
            <w:r>
              <w:rPr>
                <w:rFonts w:hint="eastAsia" w:cs="仿宋"/>
                <w:sz w:val="20"/>
                <w:szCs w:val="20"/>
                <w:lang w:val="en-US" w:eastAsia="zh-CN"/>
              </w:rPr>
              <w:t>发展和改革委员会</w:t>
            </w:r>
            <w:r>
              <w:rPr>
                <w:rFonts w:cs="仿宋"/>
                <w:sz w:val="20"/>
                <w:szCs w:val="20"/>
              </w:rPr>
              <w:t>明确的一般债券支持领域和方向。</w:t>
            </w:r>
          </w:p>
          <w:p>
            <w:pPr>
              <w:widowControl/>
              <w:spacing w:line="320" w:lineRule="exact"/>
              <w:ind w:firstLine="0"/>
              <w:jc w:val="left"/>
              <w:textAlignment w:val="center"/>
              <w:rPr>
                <w:rFonts w:cs="仿宋"/>
                <w:sz w:val="20"/>
                <w:szCs w:val="20"/>
              </w:rPr>
            </w:pP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3</w:t>
            </w:r>
          </w:p>
        </w:tc>
      </w:tr>
      <w:tr>
        <w:tblPrEx>
          <w:tblLayout w:type="fixed"/>
          <w:tblCellMar>
            <w:top w:w="0" w:type="dxa"/>
            <w:left w:w="108" w:type="dxa"/>
            <w:bottom w:w="0" w:type="dxa"/>
            <w:right w:w="108" w:type="dxa"/>
          </w:tblCellMar>
        </w:tblPrEx>
        <w:trPr>
          <w:trHeight w:val="69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3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立项程序规范性</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3</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项目申请、设立过程是否符合相关要求，用以反映和考核项目立项的规范情况。</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kern w:val="0"/>
                <w:sz w:val="20"/>
                <w:szCs w:val="20"/>
                <w:lang w:bidi="ar"/>
              </w:rPr>
              <w:t>评价要点：</w:t>
            </w:r>
            <w:r>
              <w:rPr>
                <w:rFonts w:cs="仿宋"/>
                <w:kern w:val="0"/>
                <w:sz w:val="20"/>
                <w:szCs w:val="20"/>
                <w:lang w:bidi="ar"/>
              </w:rPr>
              <w:br w:type="textWrapping"/>
            </w:r>
            <w:r>
              <w:rPr>
                <w:rFonts w:ascii="仿宋" w:hAnsi="仿宋" w:cs="仿宋"/>
                <w:kern w:val="0"/>
                <w:sz w:val="20"/>
                <w:szCs w:val="20"/>
                <w:lang w:bidi="ar"/>
              </w:rPr>
              <w:t>①</w:t>
            </w:r>
            <w:r>
              <w:rPr>
                <w:rFonts w:cs="仿宋"/>
                <w:kern w:val="0"/>
                <w:sz w:val="20"/>
                <w:szCs w:val="20"/>
                <w:lang w:bidi="ar"/>
              </w:rPr>
              <w:t>项目是否按照规定的程序申请立项（1分）；</w:t>
            </w:r>
            <w:r>
              <w:rPr>
                <w:rFonts w:cs="仿宋"/>
                <w:kern w:val="0"/>
                <w:sz w:val="20"/>
                <w:szCs w:val="20"/>
                <w:lang w:bidi="ar"/>
              </w:rPr>
              <w:br w:type="textWrapping"/>
            </w:r>
            <w:r>
              <w:rPr>
                <w:rFonts w:ascii="仿宋" w:hAnsi="仿宋" w:cs="仿宋"/>
                <w:kern w:val="0"/>
                <w:sz w:val="20"/>
                <w:szCs w:val="20"/>
                <w:lang w:bidi="ar"/>
              </w:rPr>
              <w:t>②</w:t>
            </w:r>
            <w:r>
              <w:rPr>
                <w:rFonts w:cs="仿宋"/>
                <w:kern w:val="0"/>
                <w:sz w:val="20"/>
                <w:szCs w:val="20"/>
                <w:lang w:bidi="ar"/>
              </w:rPr>
              <w:t>审批文件、材料是否符合相关要求（1分）；</w:t>
            </w:r>
            <w:r>
              <w:rPr>
                <w:rFonts w:cs="仿宋"/>
                <w:kern w:val="0"/>
                <w:sz w:val="20"/>
                <w:szCs w:val="20"/>
                <w:lang w:bidi="ar"/>
              </w:rPr>
              <w:br w:type="textWrapping"/>
            </w:r>
            <w:r>
              <w:rPr>
                <w:rFonts w:ascii="仿宋" w:hAnsi="仿宋" w:cs="仿宋"/>
                <w:kern w:val="0"/>
                <w:sz w:val="20"/>
                <w:szCs w:val="20"/>
                <w:lang w:bidi="ar"/>
              </w:rPr>
              <w:t>③</w:t>
            </w:r>
            <w:r>
              <w:rPr>
                <w:rFonts w:cs="仿宋"/>
                <w:kern w:val="0"/>
                <w:sz w:val="20"/>
                <w:szCs w:val="20"/>
                <w:lang w:bidi="ar"/>
              </w:rPr>
              <w:t>事前是否已经过必要的可行性研究、专家论证、风险评估、绩效评估、集体决策（1分）。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sz w:val="20"/>
                <w:szCs w:val="20"/>
              </w:rPr>
              <w:t>项目单位按要求填报了项目申报书、前期开展有项目可行性研究分析及事前绩效评估，本项目建议书、可行性研究报告和项目初步设计报经崇阳县发展和改革局批复，项目申请、设立过程符合相关要求。</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3</w:t>
            </w:r>
          </w:p>
        </w:tc>
      </w:tr>
      <w:tr>
        <w:tblPrEx>
          <w:tblLayout w:type="fixed"/>
          <w:tblCellMar>
            <w:top w:w="0" w:type="dxa"/>
            <w:left w:w="108" w:type="dxa"/>
            <w:bottom w:w="0" w:type="dxa"/>
            <w:right w:w="108" w:type="dxa"/>
          </w:tblCellMar>
        </w:tblPrEx>
        <w:trPr>
          <w:trHeight w:val="258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绩效目标　</w:t>
            </w:r>
          </w:p>
        </w:tc>
        <w:tc>
          <w:tcPr>
            <w:tcW w:w="5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8</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绩效目标合理性</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4</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项目所设定的绩效目标是否依据充分，是否符合客观实际，用以反映和考核项目绩效目标与项目实施的相符情况。</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kern w:val="0"/>
                <w:sz w:val="20"/>
                <w:szCs w:val="20"/>
                <w:lang w:bidi="ar"/>
              </w:rPr>
              <w:t>评价要点：</w:t>
            </w:r>
            <w:r>
              <w:rPr>
                <w:rFonts w:cs="仿宋"/>
                <w:kern w:val="0"/>
                <w:sz w:val="20"/>
                <w:szCs w:val="20"/>
                <w:lang w:bidi="ar"/>
              </w:rPr>
              <w:br w:type="textWrapping"/>
            </w:r>
            <w:r>
              <w:rPr>
                <w:rFonts w:cs="仿宋"/>
                <w:kern w:val="0"/>
                <w:sz w:val="20"/>
                <w:szCs w:val="20"/>
                <w:lang w:bidi="ar"/>
              </w:rPr>
              <w:t>（如未设定预算绩效目标，也可考核其他工作任务目标）</w:t>
            </w:r>
            <w:r>
              <w:rPr>
                <w:rFonts w:cs="仿宋"/>
                <w:kern w:val="0"/>
                <w:sz w:val="20"/>
                <w:szCs w:val="20"/>
                <w:lang w:bidi="ar"/>
              </w:rPr>
              <w:br w:type="textWrapping"/>
            </w:r>
            <w:r>
              <w:rPr>
                <w:rFonts w:ascii="仿宋" w:hAnsi="仿宋" w:cs="仿宋"/>
                <w:kern w:val="0"/>
                <w:sz w:val="20"/>
                <w:szCs w:val="20"/>
                <w:lang w:bidi="ar"/>
              </w:rPr>
              <w:t>①</w:t>
            </w:r>
            <w:r>
              <w:rPr>
                <w:rFonts w:cs="仿宋"/>
                <w:kern w:val="0"/>
                <w:sz w:val="20"/>
                <w:szCs w:val="20"/>
                <w:lang w:bidi="ar"/>
              </w:rPr>
              <w:t>项目是否有绩效目标（1分）；</w:t>
            </w:r>
            <w:r>
              <w:rPr>
                <w:rFonts w:cs="仿宋"/>
                <w:kern w:val="0"/>
                <w:sz w:val="20"/>
                <w:szCs w:val="20"/>
                <w:lang w:bidi="ar"/>
              </w:rPr>
              <w:br w:type="textWrapping"/>
            </w:r>
            <w:r>
              <w:rPr>
                <w:rFonts w:ascii="仿宋" w:hAnsi="仿宋" w:cs="仿宋"/>
                <w:kern w:val="0"/>
                <w:sz w:val="20"/>
                <w:szCs w:val="20"/>
                <w:lang w:bidi="ar"/>
              </w:rPr>
              <w:t>②</w:t>
            </w:r>
            <w:r>
              <w:rPr>
                <w:rFonts w:cs="仿宋"/>
                <w:kern w:val="0"/>
                <w:sz w:val="20"/>
                <w:szCs w:val="20"/>
                <w:lang w:bidi="ar"/>
              </w:rPr>
              <w:t>项目绩效目标与实际工作内容是否具有相关性（1分）；</w:t>
            </w:r>
            <w:r>
              <w:rPr>
                <w:rFonts w:cs="仿宋"/>
                <w:kern w:val="0"/>
                <w:sz w:val="20"/>
                <w:szCs w:val="20"/>
                <w:lang w:bidi="ar"/>
              </w:rPr>
              <w:br w:type="textWrapping"/>
            </w:r>
            <w:r>
              <w:rPr>
                <w:rFonts w:ascii="仿宋" w:hAnsi="仿宋" w:cs="仿宋"/>
                <w:kern w:val="0"/>
                <w:sz w:val="20"/>
                <w:szCs w:val="20"/>
                <w:lang w:bidi="ar"/>
              </w:rPr>
              <w:t>③</w:t>
            </w:r>
            <w:r>
              <w:rPr>
                <w:rFonts w:cs="仿宋"/>
                <w:kern w:val="0"/>
                <w:sz w:val="20"/>
                <w:szCs w:val="20"/>
                <w:lang w:bidi="ar"/>
              </w:rPr>
              <w:t>项目预期产出效益和效果是否符合正常的业绩水平（1分）；</w:t>
            </w:r>
            <w:r>
              <w:rPr>
                <w:rFonts w:cs="仿宋"/>
                <w:kern w:val="0"/>
                <w:sz w:val="20"/>
                <w:szCs w:val="20"/>
                <w:lang w:bidi="ar"/>
              </w:rPr>
              <w:br w:type="textWrapping"/>
            </w:r>
            <w:r>
              <w:rPr>
                <w:rFonts w:ascii="仿宋" w:hAnsi="仿宋" w:cs="仿宋"/>
                <w:kern w:val="0"/>
                <w:sz w:val="20"/>
                <w:szCs w:val="20"/>
                <w:lang w:bidi="ar"/>
              </w:rPr>
              <w:t>④</w:t>
            </w:r>
            <w:r>
              <w:rPr>
                <w:rFonts w:cs="仿宋"/>
                <w:kern w:val="0"/>
                <w:sz w:val="20"/>
                <w:szCs w:val="20"/>
                <w:lang w:bidi="ar"/>
              </w:rPr>
              <w:t>是否与预算确定的项目投资额或资金量相匹配（1分）。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sz w:val="20"/>
                <w:szCs w:val="20"/>
              </w:rPr>
              <w:t>本项目编制了长期和年度绩效目标，项目绩效目标与实际工作内容具有相关性，项目预期产出效益和效果符合正常的业绩水平，与预算确定的项目投资额或资金量相匹配。</w:t>
            </w:r>
          </w:p>
          <w:p>
            <w:pPr>
              <w:widowControl/>
              <w:spacing w:line="320" w:lineRule="exact"/>
              <w:ind w:firstLine="0"/>
              <w:jc w:val="left"/>
              <w:textAlignment w:val="center"/>
              <w:rPr>
                <w:rFonts w:cs="仿宋"/>
                <w:sz w:val="20"/>
                <w:szCs w:val="20"/>
              </w:rPr>
            </w:pP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sz w:val="20"/>
                <w:szCs w:val="20"/>
              </w:rPr>
              <w:t>4</w:t>
            </w:r>
          </w:p>
        </w:tc>
      </w:tr>
      <w:tr>
        <w:tblPrEx>
          <w:tblLayout w:type="fixed"/>
          <w:tblCellMar>
            <w:top w:w="0" w:type="dxa"/>
            <w:left w:w="108" w:type="dxa"/>
            <w:bottom w:w="0" w:type="dxa"/>
            <w:right w:w="108" w:type="dxa"/>
          </w:tblCellMar>
        </w:tblPrEx>
        <w:trPr>
          <w:trHeight w:val="182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3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绩效指标明确性</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4</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依据绩效目标设定的绩效指标是否清晰、细化、可衡量等，用以反映和考核项目绩效目标的明细化情况。</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评价要点：</w:t>
            </w:r>
            <w:r>
              <w:rPr>
                <w:rFonts w:cs="仿宋"/>
                <w:kern w:val="0"/>
                <w:sz w:val="20"/>
                <w:szCs w:val="20"/>
                <w:lang w:bidi="ar"/>
              </w:rPr>
              <w:br w:type="textWrapping"/>
            </w:r>
            <w:r>
              <w:rPr>
                <w:rFonts w:ascii="仿宋" w:hAnsi="仿宋" w:cs="仿宋"/>
                <w:kern w:val="0"/>
                <w:sz w:val="20"/>
                <w:szCs w:val="20"/>
                <w:lang w:bidi="ar"/>
              </w:rPr>
              <w:t>①</w:t>
            </w:r>
            <w:r>
              <w:rPr>
                <w:rFonts w:cs="仿宋"/>
                <w:kern w:val="0"/>
                <w:sz w:val="20"/>
                <w:szCs w:val="20"/>
                <w:lang w:bidi="ar"/>
              </w:rPr>
              <w:t>是否将项目绩效目标细化分解为具体的绩效指标（1分）；</w:t>
            </w:r>
            <w:r>
              <w:rPr>
                <w:rFonts w:cs="仿宋"/>
                <w:kern w:val="0"/>
                <w:sz w:val="20"/>
                <w:szCs w:val="20"/>
                <w:lang w:bidi="ar"/>
              </w:rPr>
              <w:br w:type="textWrapping"/>
            </w:r>
            <w:r>
              <w:rPr>
                <w:rFonts w:ascii="仿宋" w:hAnsi="仿宋" w:cs="仿宋"/>
                <w:kern w:val="0"/>
                <w:sz w:val="20"/>
                <w:szCs w:val="20"/>
                <w:lang w:bidi="ar"/>
              </w:rPr>
              <w:t>②</w:t>
            </w:r>
            <w:r>
              <w:rPr>
                <w:rFonts w:cs="仿宋"/>
                <w:kern w:val="0"/>
                <w:sz w:val="20"/>
                <w:szCs w:val="20"/>
                <w:lang w:bidi="ar"/>
              </w:rPr>
              <w:t>是否通过清晰、可衡量的指标值予以体现（1分）；</w:t>
            </w:r>
            <w:r>
              <w:rPr>
                <w:rFonts w:cs="仿宋"/>
                <w:kern w:val="0"/>
                <w:sz w:val="20"/>
                <w:szCs w:val="20"/>
                <w:lang w:bidi="ar"/>
              </w:rPr>
              <w:br w:type="textWrapping"/>
            </w:r>
            <w:r>
              <w:rPr>
                <w:rFonts w:ascii="仿宋" w:hAnsi="仿宋" w:cs="仿宋"/>
                <w:kern w:val="0"/>
                <w:sz w:val="20"/>
                <w:szCs w:val="20"/>
                <w:lang w:bidi="ar"/>
              </w:rPr>
              <w:t>③</w:t>
            </w:r>
            <w:r>
              <w:rPr>
                <w:rFonts w:cs="仿宋"/>
                <w:kern w:val="0"/>
                <w:sz w:val="20"/>
                <w:szCs w:val="20"/>
                <w:lang w:bidi="ar"/>
              </w:rPr>
              <w:t>是否与项目目标任务数或计划数相对应（2分）。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sz w:val="20"/>
                <w:szCs w:val="20"/>
              </w:rPr>
              <w:t>本项目绩效目标已细化分解为具体的绩效指标；本指标扣2分，因为绩效指标设置不合理。比如设置长期绩效指标和年度绩效指标不对应；年度绩效指标的三级明细指标列入了二级指标属性中，将三级指标写成了具体的指标值；满意度指标没有设置具体的三级指标，只有指标值等等。</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2</w:t>
            </w:r>
          </w:p>
        </w:tc>
      </w:tr>
      <w:tr>
        <w:tblPrEx>
          <w:tblLayout w:type="fixed"/>
          <w:tblCellMar>
            <w:top w:w="0" w:type="dxa"/>
            <w:left w:w="108" w:type="dxa"/>
            <w:bottom w:w="0" w:type="dxa"/>
            <w:right w:w="108" w:type="dxa"/>
          </w:tblCellMar>
        </w:tblPrEx>
        <w:trPr>
          <w:trHeight w:val="220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vMerge w:val="restart"/>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资金投入</w:t>
            </w:r>
          </w:p>
        </w:tc>
        <w:tc>
          <w:tcPr>
            <w:tcW w:w="532" w:type="dxa"/>
            <w:vMerge w:val="restart"/>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6</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kern w:val="0"/>
                <w:sz w:val="20"/>
                <w:szCs w:val="20"/>
                <w:lang w:bidi="ar"/>
              </w:rPr>
            </w:pPr>
            <w:r>
              <w:rPr>
                <w:rFonts w:cs="仿宋"/>
                <w:kern w:val="0"/>
                <w:sz w:val="20"/>
                <w:szCs w:val="20"/>
                <w:lang w:bidi="ar"/>
              </w:rPr>
              <w:t>债券资金申请程序的规范性</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kern w:val="0"/>
                <w:sz w:val="20"/>
                <w:szCs w:val="20"/>
                <w:lang w:bidi="ar"/>
              </w:rPr>
            </w:pPr>
            <w:r>
              <w:rPr>
                <w:rFonts w:cs="仿宋"/>
                <w:kern w:val="0"/>
                <w:sz w:val="20"/>
                <w:szCs w:val="20"/>
                <w:lang w:bidi="ar"/>
              </w:rPr>
              <w:t>3</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kern w:val="0"/>
                <w:sz w:val="20"/>
                <w:szCs w:val="20"/>
                <w:lang w:bidi="ar"/>
              </w:rPr>
            </w:pPr>
            <w:r>
              <w:rPr>
                <w:rFonts w:cs="仿宋"/>
                <w:kern w:val="0"/>
                <w:sz w:val="20"/>
                <w:szCs w:val="20"/>
                <w:lang w:bidi="ar"/>
              </w:rPr>
              <w:t>债券申请是否经过合规的程序，债券申报材料是否齐全，是否出具项目收益一般债券的项目实施方案、财务评估报告、法律意见书等。以反映和考核项目申请债券资金的程序的规范程度</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kern w:val="0"/>
                <w:sz w:val="20"/>
                <w:szCs w:val="20"/>
                <w:lang w:bidi="ar"/>
              </w:rPr>
            </w:pPr>
            <w:r>
              <w:rPr>
                <w:rFonts w:cs="仿宋"/>
                <w:kern w:val="0"/>
                <w:sz w:val="20"/>
                <w:szCs w:val="20"/>
                <w:lang w:bidi="ar"/>
              </w:rPr>
              <w:t>评价要点：</w:t>
            </w:r>
            <w:r>
              <w:rPr>
                <w:rFonts w:cs="仿宋"/>
                <w:kern w:val="0"/>
                <w:sz w:val="20"/>
                <w:szCs w:val="20"/>
                <w:lang w:bidi="ar"/>
              </w:rPr>
              <w:br w:type="textWrapping"/>
            </w:r>
            <w:r>
              <w:rPr>
                <w:rFonts w:ascii="仿宋" w:hAnsi="仿宋" w:cs="仿宋"/>
                <w:kern w:val="0"/>
                <w:sz w:val="20"/>
                <w:szCs w:val="20"/>
                <w:lang w:bidi="ar"/>
              </w:rPr>
              <w:t>①</w:t>
            </w:r>
            <w:r>
              <w:rPr>
                <w:rFonts w:cs="仿宋"/>
                <w:kern w:val="0"/>
                <w:sz w:val="20"/>
                <w:szCs w:val="20"/>
                <w:lang w:bidi="ar"/>
              </w:rPr>
              <w:t>债券申请材料是否齐全（0.5分）；</w:t>
            </w:r>
            <w:r>
              <w:rPr>
                <w:rFonts w:cs="仿宋"/>
                <w:kern w:val="0"/>
                <w:sz w:val="20"/>
                <w:szCs w:val="20"/>
                <w:lang w:bidi="ar"/>
              </w:rPr>
              <w:br w:type="textWrapping"/>
            </w:r>
            <w:r>
              <w:rPr>
                <w:rFonts w:ascii="仿宋" w:hAnsi="仿宋" w:cs="仿宋"/>
                <w:kern w:val="0"/>
                <w:sz w:val="20"/>
                <w:szCs w:val="20"/>
                <w:lang w:bidi="ar"/>
              </w:rPr>
              <w:t>②</w:t>
            </w:r>
            <w:r>
              <w:rPr>
                <w:rFonts w:cs="仿宋"/>
                <w:kern w:val="0"/>
                <w:sz w:val="20"/>
                <w:szCs w:val="20"/>
                <w:lang w:bidi="ar"/>
              </w:rPr>
              <w:t>债券申请程序是否合规（0.5分）；</w:t>
            </w:r>
            <w:r>
              <w:rPr>
                <w:rFonts w:cs="仿宋"/>
                <w:kern w:val="0"/>
                <w:sz w:val="20"/>
                <w:szCs w:val="20"/>
                <w:lang w:bidi="ar"/>
              </w:rPr>
              <w:br w:type="textWrapping"/>
            </w:r>
            <w:r>
              <w:rPr>
                <w:rFonts w:ascii="仿宋" w:hAnsi="仿宋" w:cs="仿宋"/>
                <w:kern w:val="0"/>
                <w:sz w:val="20"/>
                <w:szCs w:val="20"/>
                <w:lang w:bidi="ar"/>
              </w:rPr>
              <w:t>③</w:t>
            </w:r>
            <w:r>
              <w:rPr>
                <w:rFonts w:cs="仿宋"/>
                <w:kern w:val="0"/>
                <w:sz w:val="20"/>
                <w:szCs w:val="20"/>
                <w:lang w:bidi="ar"/>
              </w:rPr>
              <w:t>债券的项目实施方案，是否按照标准编制（1分）；</w:t>
            </w:r>
            <w:r>
              <w:rPr>
                <w:rFonts w:cs="仿宋"/>
                <w:kern w:val="0"/>
                <w:sz w:val="20"/>
                <w:szCs w:val="20"/>
                <w:lang w:bidi="ar"/>
              </w:rPr>
              <w:br w:type="textWrapping"/>
            </w:r>
            <w:r>
              <w:rPr>
                <w:rFonts w:ascii="仿宋" w:hAnsi="仿宋" w:cs="仿宋"/>
                <w:kern w:val="0"/>
                <w:sz w:val="20"/>
                <w:szCs w:val="20"/>
                <w:lang w:bidi="ar"/>
              </w:rPr>
              <w:t>④</w:t>
            </w:r>
            <w:r>
              <w:rPr>
                <w:rFonts w:cs="仿宋"/>
                <w:kern w:val="0"/>
                <w:sz w:val="20"/>
                <w:szCs w:val="20"/>
                <w:lang w:bidi="ar"/>
              </w:rPr>
              <w:t>申请用途是否与实际建设内容相匹配（1分）。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sz w:val="20"/>
                <w:szCs w:val="20"/>
              </w:rPr>
              <w:t>本项目资金来源有2,000万元的一般债券，编制有债券实施方案及其他债券申报材料</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kern w:val="0"/>
                <w:sz w:val="20"/>
                <w:szCs w:val="20"/>
                <w:lang w:bidi="ar"/>
              </w:rPr>
            </w:pPr>
            <w:r>
              <w:rPr>
                <w:rFonts w:cs="仿宋"/>
                <w:kern w:val="0"/>
                <w:sz w:val="20"/>
                <w:szCs w:val="20"/>
                <w:lang w:bidi="ar"/>
              </w:rPr>
              <w:t>3</w:t>
            </w:r>
          </w:p>
        </w:tc>
      </w:tr>
      <w:tr>
        <w:tblPrEx>
          <w:tblLayout w:type="fixed"/>
          <w:tblCellMar>
            <w:top w:w="0" w:type="dxa"/>
            <w:left w:w="108" w:type="dxa"/>
            <w:bottom w:w="0" w:type="dxa"/>
            <w:right w:w="108" w:type="dxa"/>
          </w:tblCellMar>
        </w:tblPrEx>
        <w:trPr>
          <w:trHeight w:val="220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kern w:val="0"/>
                <w:sz w:val="20"/>
                <w:szCs w:val="20"/>
                <w:lang w:bidi="ar"/>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textAlignment w:val="center"/>
              <w:rPr>
                <w:rFonts w:cs="仿宋"/>
                <w:sz w:val="20"/>
                <w:szCs w:val="20"/>
              </w:rPr>
            </w:pPr>
          </w:p>
        </w:tc>
        <w:tc>
          <w:tcPr>
            <w:tcW w:w="532"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textAlignment w:val="center"/>
              <w:rPr>
                <w:rFonts w:cs="仿宋"/>
                <w:sz w:val="20"/>
                <w:szCs w:val="20"/>
              </w:rPr>
            </w:pP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申债额度科学性</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3</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项目申请债券额度是否经过科学论证、有明确标准，资金额度与年度目标是否相适应，用以反映和考核项目申请债券额度的科学性、合理性情况。</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评价要点：</w:t>
            </w:r>
            <w:r>
              <w:rPr>
                <w:rFonts w:cs="仿宋"/>
                <w:kern w:val="0"/>
                <w:sz w:val="20"/>
                <w:szCs w:val="20"/>
                <w:lang w:bidi="ar"/>
              </w:rPr>
              <w:br w:type="textWrapping"/>
            </w:r>
            <w:r>
              <w:rPr>
                <w:rFonts w:ascii="仿宋" w:hAnsi="仿宋" w:cs="仿宋"/>
                <w:kern w:val="0"/>
                <w:sz w:val="20"/>
                <w:szCs w:val="20"/>
                <w:lang w:bidi="ar"/>
              </w:rPr>
              <w:t>①</w:t>
            </w:r>
            <w:r>
              <w:rPr>
                <w:rFonts w:cs="仿宋"/>
                <w:kern w:val="0"/>
                <w:sz w:val="20"/>
                <w:szCs w:val="20"/>
                <w:lang w:bidi="ar"/>
              </w:rPr>
              <w:t>申请债券是否经过科学论证（0.5分）；</w:t>
            </w:r>
            <w:r>
              <w:rPr>
                <w:rFonts w:cs="仿宋"/>
                <w:kern w:val="0"/>
                <w:sz w:val="20"/>
                <w:szCs w:val="20"/>
                <w:lang w:bidi="ar"/>
              </w:rPr>
              <w:br w:type="textWrapping"/>
            </w:r>
            <w:r>
              <w:rPr>
                <w:rFonts w:ascii="仿宋" w:hAnsi="仿宋" w:cs="仿宋"/>
                <w:kern w:val="0"/>
                <w:sz w:val="20"/>
                <w:szCs w:val="20"/>
                <w:lang w:bidi="ar"/>
              </w:rPr>
              <w:t>②</w:t>
            </w:r>
            <w:r>
              <w:rPr>
                <w:rFonts w:cs="仿宋"/>
                <w:kern w:val="0"/>
                <w:sz w:val="20"/>
                <w:szCs w:val="20"/>
                <w:lang w:bidi="ar"/>
              </w:rPr>
              <w:t>内容与项目内容是否匹配（0.5分）；</w:t>
            </w:r>
            <w:r>
              <w:rPr>
                <w:rFonts w:cs="仿宋"/>
                <w:kern w:val="0"/>
                <w:sz w:val="20"/>
                <w:szCs w:val="20"/>
                <w:lang w:bidi="ar"/>
              </w:rPr>
              <w:br w:type="textWrapping"/>
            </w:r>
            <w:r>
              <w:rPr>
                <w:rFonts w:ascii="仿宋" w:hAnsi="仿宋" w:cs="仿宋"/>
                <w:kern w:val="0"/>
                <w:sz w:val="20"/>
                <w:szCs w:val="20"/>
                <w:lang w:bidi="ar"/>
              </w:rPr>
              <w:t>③</w:t>
            </w:r>
            <w:r>
              <w:rPr>
                <w:rFonts w:cs="仿宋"/>
                <w:kern w:val="0"/>
                <w:sz w:val="20"/>
                <w:szCs w:val="20"/>
                <w:lang w:bidi="ar"/>
              </w:rPr>
              <w:t>申请债券额度测算依据是否充分，是否按照标准编制（0.5分）；</w:t>
            </w:r>
            <w:r>
              <w:rPr>
                <w:rFonts w:cs="仿宋"/>
                <w:kern w:val="0"/>
                <w:sz w:val="20"/>
                <w:szCs w:val="20"/>
                <w:lang w:bidi="ar"/>
              </w:rPr>
              <w:br w:type="textWrapping"/>
            </w:r>
            <w:r>
              <w:rPr>
                <w:rFonts w:ascii="仿宋" w:hAnsi="仿宋" w:cs="仿宋"/>
                <w:kern w:val="0"/>
                <w:sz w:val="20"/>
                <w:szCs w:val="20"/>
                <w:lang w:bidi="ar"/>
              </w:rPr>
              <w:t>④</w:t>
            </w:r>
            <w:r>
              <w:rPr>
                <w:rFonts w:cs="仿宋"/>
                <w:kern w:val="0"/>
                <w:sz w:val="20"/>
                <w:szCs w:val="20"/>
                <w:lang w:bidi="ar"/>
              </w:rPr>
              <w:t>申请债券额度是否与实际需要匹配（0.5分）。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sz w:val="20"/>
                <w:szCs w:val="20"/>
              </w:rPr>
              <w:t>本项目安排债券资金2,000万元，占总投资估算的25.56%，</w:t>
            </w:r>
            <w:r>
              <w:rPr>
                <w:rFonts w:cs="仿宋"/>
                <w:kern w:val="0"/>
                <w:sz w:val="20"/>
                <w:szCs w:val="20"/>
                <w:lang w:bidi="ar"/>
              </w:rPr>
              <w:t>申请债券</w:t>
            </w:r>
            <w:r>
              <w:rPr>
                <w:rFonts w:cs="仿宋"/>
                <w:sz w:val="20"/>
                <w:szCs w:val="20"/>
              </w:rPr>
              <w:t>额度经过科学论证，</w:t>
            </w:r>
            <w:r>
              <w:rPr>
                <w:rFonts w:cs="仿宋"/>
                <w:kern w:val="0"/>
                <w:sz w:val="20"/>
                <w:szCs w:val="20"/>
                <w:lang w:bidi="ar"/>
              </w:rPr>
              <w:t>申请债券</w:t>
            </w:r>
            <w:r>
              <w:rPr>
                <w:rFonts w:cs="仿宋"/>
                <w:sz w:val="20"/>
                <w:szCs w:val="20"/>
              </w:rPr>
              <w:t>内容与项目内容匹配，</w:t>
            </w:r>
            <w:r>
              <w:rPr>
                <w:rFonts w:cs="仿宋"/>
                <w:kern w:val="0"/>
                <w:sz w:val="20"/>
                <w:szCs w:val="20"/>
                <w:lang w:bidi="ar"/>
              </w:rPr>
              <w:t>申请债券</w:t>
            </w:r>
            <w:r>
              <w:rPr>
                <w:rFonts w:cs="仿宋"/>
                <w:sz w:val="20"/>
                <w:szCs w:val="20"/>
              </w:rPr>
              <w:t>额度测算依据充分，专项债券资金使用方案按照标准编制，与实际需要匹配。</w:t>
            </w:r>
          </w:p>
          <w:p>
            <w:pPr>
              <w:widowControl/>
              <w:spacing w:line="320" w:lineRule="exact"/>
              <w:ind w:firstLine="0"/>
              <w:jc w:val="left"/>
              <w:textAlignment w:val="center"/>
              <w:rPr>
                <w:rFonts w:cs="仿宋"/>
                <w:sz w:val="20"/>
                <w:szCs w:val="20"/>
              </w:rPr>
            </w:pP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3</w:t>
            </w:r>
          </w:p>
        </w:tc>
      </w:tr>
      <w:tr>
        <w:tblPrEx>
          <w:tblLayout w:type="fixed"/>
          <w:tblCellMar>
            <w:top w:w="0" w:type="dxa"/>
            <w:left w:w="108" w:type="dxa"/>
            <w:bottom w:w="0" w:type="dxa"/>
            <w:right w:w="108" w:type="dxa"/>
          </w:tblCellMar>
        </w:tblPrEx>
        <w:trPr>
          <w:trHeight w:val="208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资金管理</w:t>
            </w:r>
          </w:p>
        </w:tc>
        <w:tc>
          <w:tcPr>
            <w:tcW w:w="5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13</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sz w:val="20"/>
                <w:szCs w:val="20"/>
              </w:rPr>
              <w:t>项目预算资金执行率</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3</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年度预算支出与实际到位资金的比率，用以反映和考核项目年度预算资金的执行程度。</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sz w:val="20"/>
                <w:szCs w:val="20"/>
              </w:rPr>
              <w:t>项目预算资金执行率</w:t>
            </w:r>
            <w:r>
              <w:rPr>
                <w:rFonts w:cs="仿宋"/>
                <w:kern w:val="0"/>
                <w:sz w:val="20"/>
                <w:szCs w:val="20"/>
                <w:lang w:bidi="ar"/>
              </w:rPr>
              <w:t>=（年度预算资金支出金额/到位预算资金）×100%。</w:t>
            </w:r>
            <w:r>
              <w:rPr>
                <w:rFonts w:cs="仿宋"/>
                <w:kern w:val="0"/>
                <w:sz w:val="20"/>
                <w:szCs w:val="20"/>
                <w:lang w:bidi="ar"/>
              </w:rPr>
              <w:br w:type="textWrapping"/>
            </w:r>
            <w:r>
              <w:rPr>
                <w:rFonts w:cs="仿宋"/>
                <w:kern w:val="0"/>
                <w:sz w:val="20"/>
                <w:szCs w:val="20"/>
                <w:lang w:bidi="ar"/>
              </w:rPr>
              <w:t>（</w:t>
            </w:r>
            <w:r>
              <w:rPr>
                <w:rFonts w:cs="仿宋"/>
                <w:sz w:val="20"/>
                <w:szCs w:val="20"/>
              </w:rPr>
              <w:t>项目预算资金执行率</w:t>
            </w:r>
            <w:r>
              <w:rPr>
                <w:rFonts w:cs="仿宋"/>
                <w:kern w:val="0"/>
                <w:sz w:val="20"/>
                <w:szCs w:val="20"/>
                <w:lang w:bidi="ar"/>
              </w:rPr>
              <w:t>=100%，得3分；</w:t>
            </w:r>
            <w:r>
              <w:rPr>
                <w:rFonts w:cs="仿宋"/>
                <w:sz w:val="20"/>
                <w:szCs w:val="20"/>
              </w:rPr>
              <w:t>项目预算资金执行率</w:t>
            </w:r>
            <w:r>
              <w:rPr>
                <w:rFonts w:cs="仿宋"/>
                <w:kern w:val="0"/>
                <w:sz w:val="20"/>
                <w:szCs w:val="20"/>
                <w:lang w:bidi="ar"/>
              </w:rPr>
              <w:t>＜100%，得分=</w:t>
            </w:r>
            <w:r>
              <w:rPr>
                <w:rFonts w:cs="仿宋"/>
                <w:sz w:val="20"/>
                <w:szCs w:val="20"/>
              </w:rPr>
              <w:t>项目预算资金执行率</w:t>
            </w:r>
            <w:r>
              <w:rPr>
                <w:rFonts w:cs="仿宋"/>
                <w:kern w:val="0"/>
                <w:sz w:val="20"/>
                <w:szCs w:val="20"/>
                <w:lang w:bidi="ar"/>
              </w:rPr>
              <w:t>×3分。）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ascii="仿宋" w:hAnsi="仿宋" w:cs="仿宋"/>
                <w:sz w:val="20"/>
                <w:szCs w:val="20"/>
              </w:rPr>
            </w:pPr>
            <w:r>
              <w:rPr>
                <w:rFonts w:ascii="仿宋" w:hAnsi="仿宋" w:cs="仿宋"/>
                <w:sz w:val="20"/>
                <w:szCs w:val="20"/>
              </w:rPr>
              <w:t>本项目2022年实际到账金额2,808万元(其中一般债券2,000万元，政府性基金400万元，县级资金408万元)；2022年实际执行金额为481.92万元，2022 年项目预算执行率为17.16%</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2.65</w:t>
            </w:r>
          </w:p>
        </w:tc>
      </w:tr>
      <w:tr>
        <w:tblPrEx>
          <w:tblLayout w:type="fixed"/>
          <w:tblCellMar>
            <w:top w:w="0" w:type="dxa"/>
            <w:left w:w="108" w:type="dxa"/>
            <w:bottom w:w="0" w:type="dxa"/>
            <w:right w:w="108" w:type="dxa"/>
          </w:tblCellMar>
        </w:tblPrEx>
        <w:trPr>
          <w:trHeight w:val="240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3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债券资金使用率</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3</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债券资金是否按照计划使用，有无闲置情况，用以反映或考核项目资金的使用情况。</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债券资金使用率=（实际使用资金/实际到位债券资金）×100%。</w:t>
            </w:r>
            <w:r>
              <w:rPr>
                <w:rFonts w:cs="仿宋"/>
                <w:kern w:val="0"/>
                <w:sz w:val="20"/>
                <w:szCs w:val="20"/>
                <w:lang w:bidi="ar"/>
              </w:rPr>
              <w:br w:type="textWrapping"/>
            </w:r>
            <w:r>
              <w:rPr>
                <w:rFonts w:cs="仿宋"/>
                <w:kern w:val="0"/>
                <w:sz w:val="20"/>
                <w:szCs w:val="20"/>
                <w:lang w:bidi="ar"/>
              </w:rPr>
              <w:t>实际使用资金：本年度内项目单位实际使用的债券资金。</w:t>
            </w:r>
            <w:r>
              <w:rPr>
                <w:rFonts w:cs="仿宋"/>
                <w:kern w:val="0"/>
                <w:sz w:val="20"/>
                <w:szCs w:val="20"/>
                <w:lang w:bidi="ar"/>
              </w:rPr>
              <w:br w:type="textWrapping"/>
            </w:r>
            <w:r>
              <w:rPr>
                <w:rFonts w:cs="仿宋"/>
                <w:kern w:val="0"/>
                <w:sz w:val="20"/>
                <w:szCs w:val="20"/>
                <w:lang w:bidi="ar"/>
              </w:rPr>
              <w:t>实际到位债券资金：本年度内项目单位实际到位的债券资金。</w:t>
            </w:r>
            <w:r>
              <w:rPr>
                <w:rFonts w:cs="仿宋"/>
                <w:kern w:val="0"/>
                <w:sz w:val="20"/>
                <w:szCs w:val="20"/>
                <w:lang w:bidi="ar"/>
              </w:rPr>
              <w:br w:type="textWrapping"/>
            </w:r>
            <w:r>
              <w:rPr>
                <w:rFonts w:cs="仿宋"/>
                <w:kern w:val="0"/>
                <w:sz w:val="20"/>
                <w:szCs w:val="20"/>
                <w:lang w:bidi="ar"/>
              </w:rPr>
              <w:t>得分=（资金使用率×3分。）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ascii="仿宋" w:hAnsi="仿宋" w:cs="仿宋"/>
                <w:sz w:val="20"/>
                <w:szCs w:val="20"/>
              </w:rPr>
            </w:pPr>
            <w:r>
              <w:rPr>
                <w:rFonts w:ascii="仿宋" w:hAnsi="仿宋" w:cs="仿宋"/>
                <w:sz w:val="20"/>
                <w:szCs w:val="20"/>
              </w:rPr>
              <w:t>2022年实际到位债券资金2,000万元，2022年债券资金实际支出0万元，债券资金年度实际使用率为0%</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0</w:t>
            </w:r>
          </w:p>
        </w:tc>
      </w:tr>
      <w:tr>
        <w:tblPrEx>
          <w:tblLayout w:type="fixed"/>
          <w:tblCellMar>
            <w:top w:w="0" w:type="dxa"/>
            <w:left w:w="108" w:type="dxa"/>
            <w:bottom w:w="0" w:type="dxa"/>
            <w:right w:w="108" w:type="dxa"/>
          </w:tblCellMar>
        </w:tblPrEx>
        <w:trPr>
          <w:trHeight w:val="502"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3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资金拨付和支出进度与项目建设进度匹配性</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3</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资金的拨付和支出进度是否按照计划执行，是否跟项目建设进度相匹配，用以反映资金使用与项目建设进度的匹配合理程度。</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评价要点：</w:t>
            </w:r>
            <w:r>
              <w:rPr>
                <w:rFonts w:cs="仿宋"/>
                <w:kern w:val="0"/>
                <w:sz w:val="20"/>
                <w:szCs w:val="20"/>
                <w:lang w:bidi="ar"/>
              </w:rPr>
              <w:br w:type="textWrapping"/>
            </w:r>
            <w:r>
              <w:rPr>
                <w:rFonts w:ascii="仿宋" w:hAnsi="仿宋" w:cs="仿宋"/>
                <w:kern w:val="0"/>
                <w:sz w:val="20"/>
                <w:szCs w:val="20"/>
                <w:lang w:bidi="ar"/>
              </w:rPr>
              <w:t>①</w:t>
            </w:r>
            <w:r>
              <w:rPr>
                <w:rFonts w:cs="仿宋"/>
                <w:kern w:val="0"/>
                <w:sz w:val="20"/>
                <w:szCs w:val="20"/>
                <w:lang w:bidi="ar"/>
              </w:rPr>
              <w:t>资金拨付和支出进度是否按计划执行（1.5分）；</w:t>
            </w:r>
            <w:r>
              <w:rPr>
                <w:rFonts w:cs="仿宋"/>
                <w:kern w:val="0"/>
                <w:sz w:val="20"/>
                <w:szCs w:val="20"/>
                <w:lang w:bidi="ar"/>
              </w:rPr>
              <w:br w:type="textWrapping"/>
            </w:r>
            <w:r>
              <w:rPr>
                <w:rFonts w:ascii="仿宋" w:hAnsi="仿宋" w:cs="仿宋"/>
                <w:kern w:val="0"/>
                <w:sz w:val="20"/>
                <w:szCs w:val="20"/>
                <w:lang w:bidi="ar"/>
              </w:rPr>
              <w:t>②</w:t>
            </w:r>
            <w:r>
              <w:rPr>
                <w:rFonts w:cs="仿宋"/>
                <w:kern w:val="0"/>
                <w:sz w:val="20"/>
                <w:szCs w:val="20"/>
                <w:lang w:bidi="ar"/>
              </w:rPr>
              <w:t>资金拨付和支出进度与项目建设进度是否匹配（1.5分）。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ascii="仿宋" w:hAnsi="仿宋" w:cs="仿宋"/>
                <w:sz w:val="20"/>
                <w:szCs w:val="20"/>
              </w:rPr>
            </w:pPr>
            <w:r>
              <w:rPr>
                <w:rFonts w:ascii="仿宋" w:hAnsi="仿宋" w:cs="仿宋"/>
                <w:sz w:val="20"/>
                <w:szCs w:val="20"/>
              </w:rPr>
              <w:t>项目资金拨付和支出进度按未按合同计划执行，与项目建设进度不相匹配</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1.5</w:t>
            </w:r>
          </w:p>
        </w:tc>
      </w:tr>
      <w:tr>
        <w:tblPrEx>
          <w:tblLayout w:type="fixed"/>
          <w:tblCellMar>
            <w:top w:w="0" w:type="dxa"/>
            <w:left w:w="108" w:type="dxa"/>
            <w:bottom w:w="0" w:type="dxa"/>
            <w:right w:w="108" w:type="dxa"/>
          </w:tblCellMar>
        </w:tblPrEx>
        <w:trPr>
          <w:trHeight w:val="330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3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资金使用合规性</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4</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债券资金等项目预算资金使用是否符合相关的财务管理制度规定、是否按规定用途使用，用以反映和考核项目资金的规范运行情况。</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kern w:val="0"/>
                <w:sz w:val="20"/>
                <w:szCs w:val="20"/>
                <w:lang w:bidi="ar"/>
              </w:rPr>
              <w:t>评价要点：</w:t>
            </w:r>
            <w:r>
              <w:rPr>
                <w:rFonts w:cs="仿宋"/>
                <w:kern w:val="0"/>
                <w:sz w:val="20"/>
                <w:szCs w:val="20"/>
                <w:lang w:bidi="ar"/>
              </w:rPr>
              <w:br w:type="textWrapping"/>
            </w:r>
            <w:r>
              <w:rPr>
                <w:rFonts w:ascii="仿宋" w:hAnsi="仿宋" w:cs="仿宋"/>
                <w:kern w:val="0"/>
                <w:sz w:val="20"/>
                <w:szCs w:val="20"/>
                <w:lang w:bidi="ar"/>
              </w:rPr>
              <w:t>①</w:t>
            </w:r>
            <w:r>
              <w:rPr>
                <w:rFonts w:cs="仿宋"/>
                <w:kern w:val="0"/>
                <w:sz w:val="20"/>
                <w:szCs w:val="20"/>
                <w:lang w:bidi="ar"/>
              </w:rPr>
              <w:t>债券资金等资金的使用是否符合国家财经法规和财务管理制度以及有关管理办法的规定（1分）；</w:t>
            </w:r>
            <w:r>
              <w:rPr>
                <w:rFonts w:cs="仿宋"/>
                <w:kern w:val="0"/>
                <w:sz w:val="20"/>
                <w:szCs w:val="20"/>
                <w:lang w:bidi="ar"/>
              </w:rPr>
              <w:br w:type="textWrapping"/>
            </w:r>
            <w:r>
              <w:rPr>
                <w:rFonts w:ascii="仿宋" w:hAnsi="仿宋" w:cs="仿宋"/>
                <w:kern w:val="0"/>
                <w:sz w:val="20"/>
                <w:szCs w:val="20"/>
                <w:lang w:bidi="ar"/>
              </w:rPr>
              <w:t>②</w:t>
            </w:r>
            <w:r>
              <w:rPr>
                <w:rFonts w:cs="仿宋"/>
                <w:kern w:val="0"/>
                <w:sz w:val="20"/>
                <w:szCs w:val="20"/>
                <w:lang w:bidi="ar"/>
              </w:rPr>
              <w:t>债券资金等资金的使用是否符合项目预算批复或合同规定的用途（1分）；</w:t>
            </w:r>
            <w:r>
              <w:rPr>
                <w:rFonts w:cs="仿宋"/>
                <w:kern w:val="0"/>
                <w:sz w:val="20"/>
                <w:szCs w:val="20"/>
                <w:lang w:bidi="ar"/>
              </w:rPr>
              <w:br w:type="textWrapping"/>
            </w:r>
            <w:r>
              <w:rPr>
                <w:rFonts w:ascii="仿宋" w:hAnsi="仿宋" w:cs="仿宋"/>
                <w:kern w:val="0"/>
                <w:sz w:val="20"/>
                <w:szCs w:val="20"/>
                <w:lang w:bidi="ar"/>
              </w:rPr>
              <w:t>③</w:t>
            </w:r>
            <w:r>
              <w:rPr>
                <w:rFonts w:cs="仿宋"/>
                <w:kern w:val="0"/>
                <w:sz w:val="20"/>
                <w:szCs w:val="20"/>
                <w:lang w:bidi="ar"/>
              </w:rPr>
              <w:t>债券资金等资金的使用是否存在截留、挤占、挪用、虚列支出等情况（2分）（每发现1项扣0.5分，扣完为止）。</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kern w:val="0"/>
                <w:sz w:val="20"/>
                <w:szCs w:val="20"/>
                <w:lang w:bidi="ar"/>
              </w:rPr>
              <w:t>根据抽查财务凭证，资金使用有完整的审批程序和手续；但一般债券资金的使用不合规。本项目标段一的支付未按合同约定付款，且支付金额超过合同中标金额146.34万元</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2</w:t>
            </w:r>
          </w:p>
        </w:tc>
      </w:tr>
      <w:tr>
        <w:tblPrEx>
          <w:tblLayout w:type="fixed"/>
          <w:tblCellMar>
            <w:top w:w="0" w:type="dxa"/>
            <w:left w:w="108" w:type="dxa"/>
            <w:bottom w:w="0" w:type="dxa"/>
            <w:right w:w="108" w:type="dxa"/>
          </w:tblCellMar>
        </w:tblPrEx>
        <w:trPr>
          <w:trHeight w:val="338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项目组织管理</w:t>
            </w:r>
          </w:p>
        </w:tc>
        <w:tc>
          <w:tcPr>
            <w:tcW w:w="5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sz w:val="20"/>
                <w:szCs w:val="20"/>
              </w:rPr>
              <w:t>7</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管理制度健全性</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3</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项目实施单位的财务和业务管理制度是否健全，用以反映和考核财务和业务管理制度对项目顺利实施的保障情况。</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kern w:val="0"/>
                <w:sz w:val="20"/>
                <w:szCs w:val="20"/>
                <w:lang w:bidi="ar"/>
              </w:rPr>
              <w:t>评价要点：</w:t>
            </w:r>
            <w:r>
              <w:rPr>
                <w:rFonts w:cs="仿宋"/>
                <w:kern w:val="0"/>
                <w:sz w:val="20"/>
                <w:szCs w:val="20"/>
                <w:lang w:bidi="ar"/>
              </w:rPr>
              <w:br w:type="textWrapping"/>
            </w:r>
            <w:r>
              <w:rPr>
                <w:rFonts w:ascii="仿宋" w:hAnsi="仿宋" w:cs="仿宋"/>
                <w:kern w:val="0"/>
                <w:sz w:val="20"/>
                <w:szCs w:val="20"/>
                <w:lang w:bidi="ar"/>
              </w:rPr>
              <w:t>①</w:t>
            </w:r>
            <w:r>
              <w:rPr>
                <w:rFonts w:cs="仿宋"/>
                <w:kern w:val="0"/>
                <w:sz w:val="20"/>
                <w:szCs w:val="20"/>
                <w:lang w:bidi="ar"/>
              </w:rPr>
              <w:t>已制定或具有相应的业务管理制度，制度完整得1分；缺少一项制度扣0.2分，制度内容不完整一项扣0.1分；没有相应制度，得0分（1分）；</w:t>
            </w:r>
            <w:r>
              <w:rPr>
                <w:rFonts w:cs="仿宋"/>
                <w:kern w:val="0"/>
                <w:sz w:val="20"/>
                <w:szCs w:val="20"/>
                <w:lang w:bidi="ar"/>
              </w:rPr>
              <w:br w:type="textWrapping"/>
            </w:r>
            <w:r>
              <w:rPr>
                <w:rFonts w:ascii="仿宋" w:hAnsi="仿宋" w:cs="仿宋"/>
                <w:kern w:val="0"/>
                <w:sz w:val="20"/>
                <w:szCs w:val="20"/>
                <w:lang w:bidi="ar"/>
              </w:rPr>
              <w:t>②</w:t>
            </w:r>
            <w:r>
              <w:rPr>
                <w:rFonts w:cs="仿宋"/>
                <w:kern w:val="0"/>
                <w:sz w:val="20"/>
                <w:szCs w:val="20"/>
                <w:lang w:bidi="ar"/>
              </w:rPr>
              <w:t>已制定或具有相应的财务管理制度，制度完整得1分；缺少一项制度扣0.2分，制度内容不完整一项扣0.1分；没有相应制度，得0分（1分）；</w:t>
            </w:r>
            <w:r>
              <w:rPr>
                <w:rFonts w:cs="仿宋"/>
                <w:kern w:val="0"/>
                <w:sz w:val="20"/>
                <w:szCs w:val="20"/>
                <w:lang w:bidi="ar"/>
              </w:rPr>
              <w:br w:type="textWrapping"/>
            </w:r>
            <w:r>
              <w:rPr>
                <w:rFonts w:ascii="仿宋" w:hAnsi="仿宋" w:cs="仿宋"/>
                <w:kern w:val="0"/>
                <w:sz w:val="20"/>
                <w:szCs w:val="20"/>
                <w:lang w:bidi="ar"/>
              </w:rPr>
              <w:t>③</w:t>
            </w:r>
            <w:r>
              <w:rPr>
                <w:rFonts w:cs="仿宋"/>
                <w:kern w:val="0"/>
                <w:sz w:val="20"/>
                <w:szCs w:val="20"/>
                <w:lang w:bidi="ar"/>
              </w:rPr>
              <w:t>业务管理制度是否合法、合规，每发现一处问题扣0.1分（0.5分）；</w:t>
            </w:r>
            <w:r>
              <w:rPr>
                <w:rFonts w:cs="仿宋"/>
                <w:kern w:val="0"/>
                <w:sz w:val="20"/>
                <w:szCs w:val="20"/>
                <w:lang w:bidi="ar"/>
              </w:rPr>
              <w:br w:type="textWrapping"/>
            </w:r>
            <w:r>
              <w:rPr>
                <w:rFonts w:ascii="仿宋" w:hAnsi="仿宋" w:cs="仿宋"/>
                <w:kern w:val="0"/>
                <w:sz w:val="20"/>
                <w:szCs w:val="20"/>
                <w:lang w:bidi="ar"/>
              </w:rPr>
              <w:t>④</w:t>
            </w:r>
            <w:r>
              <w:rPr>
                <w:rFonts w:cs="仿宋"/>
                <w:kern w:val="0"/>
                <w:sz w:val="20"/>
                <w:szCs w:val="20"/>
                <w:lang w:bidi="ar"/>
              </w:rPr>
              <w:t>财务管理制度是否合法、合规，每发现一处问题扣0.1分（0.5分）。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sz w:val="20"/>
                <w:szCs w:val="20"/>
              </w:rPr>
              <w:t>制定有《崇阳县应急管理局内部财务管理制度》《崇阳县应急管理局资金使用审批制度》《崇阳县应急管理局部门预算资金管理办法》《崇阳县应急管理局国有资产管理制度》等，所制定的管理制度合法、合规</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3</w:t>
            </w:r>
          </w:p>
        </w:tc>
      </w:tr>
      <w:tr>
        <w:tblPrEx>
          <w:tblLayout w:type="fixed"/>
          <w:tblCellMar>
            <w:top w:w="0" w:type="dxa"/>
            <w:left w:w="108" w:type="dxa"/>
            <w:bottom w:w="0" w:type="dxa"/>
            <w:right w:w="108" w:type="dxa"/>
          </w:tblCellMar>
        </w:tblPrEx>
        <w:trPr>
          <w:trHeight w:val="234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3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项目管理规范性</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4</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项目实施是否符合相关管理规定，用以反映和考核相关管理制度的有效执行情况。</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评价要点：</w:t>
            </w:r>
            <w:r>
              <w:rPr>
                <w:rFonts w:cs="仿宋"/>
                <w:kern w:val="0"/>
                <w:sz w:val="20"/>
                <w:szCs w:val="20"/>
                <w:lang w:bidi="ar"/>
              </w:rPr>
              <w:br w:type="textWrapping"/>
            </w:r>
            <w:r>
              <w:rPr>
                <w:rFonts w:ascii="仿宋" w:hAnsi="仿宋" w:cs="仿宋"/>
                <w:kern w:val="0"/>
                <w:sz w:val="20"/>
                <w:szCs w:val="20"/>
                <w:lang w:bidi="ar"/>
              </w:rPr>
              <w:t>①</w:t>
            </w:r>
            <w:r>
              <w:rPr>
                <w:rFonts w:cs="仿宋"/>
                <w:kern w:val="0"/>
                <w:sz w:val="20"/>
                <w:szCs w:val="20"/>
                <w:lang w:bidi="ar"/>
              </w:rPr>
              <w:t>项目全过程管理中是否遵守相关法律法规和相关管理规定（3分）；</w:t>
            </w:r>
            <w:r>
              <w:rPr>
                <w:rFonts w:cs="仿宋"/>
                <w:kern w:val="0"/>
                <w:sz w:val="20"/>
                <w:szCs w:val="20"/>
                <w:lang w:bidi="ar"/>
              </w:rPr>
              <w:br w:type="textWrapping"/>
            </w:r>
            <w:r>
              <w:rPr>
                <w:rFonts w:ascii="仿宋" w:hAnsi="仿宋" w:cs="仿宋"/>
                <w:kern w:val="0"/>
                <w:sz w:val="20"/>
                <w:szCs w:val="20"/>
                <w:lang w:bidi="ar"/>
              </w:rPr>
              <w:t>②</w:t>
            </w:r>
            <w:r>
              <w:rPr>
                <w:rFonts w:cs="仿宋"/>
                <w:kern w:val="0"/>
                <w:sz w:val="20"/>
                <w:szCs w:val="20"/>
                <w:lang w:bidi="ar"/>
              </w:rPr>
              <w:t>项目合同书、验收报告、技术鉴定等资料是否齐全并及时归档（1分）；</w:t>
            </w:r>
            <w:r>
              <w:rPr>
                <w:rFonts w:cs="仿宋"/>
                <w:kern w:val="0"/>
                <w:sz w:val="20"/>
                <w:szCs w:val="20"/>
                <w:lang w:bidi="ar"/>
              </w:rPr>
              <w:br w:type="textWrapping"/>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sz w:val="20"/>
                <w:szCs w:val="20"/>
              </w:rPr>
              <w:t>本项目管理不规范，一是项目施工前一些必要的施工许可证照未按要求的时间办理完毕，项目前期准备工作不够充分。二是资金支付未按合同约定付款，对制度的执行缺乏有效性。</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w:t>
            </w:r>
          </w:p>
        </w:tc>
      </w:tr>
      <w:tr>
        <w:tblPrEx>
          <w:tblLayout w:type="fixed"/>
          <w:tblCellMar>
            <w:top w:w="0" w:type="dxa"/>
            <w:left w:w="108" w:type="dxa"/>
            <w:bottom w:w="0" w:type="dxa"/>
            <w:right w:w="108" w:type="dxa"/>
          </w:tblCellMar>
        </w:tblPrEx>
        <w:trPr>
          <w:trHeight w:val="2040" w:hRule="atLeast"/>
          <w:jc w:val="center"/>
        </w:trPr>
        <w:tc>
          <w:tcPr>
            <w:tcW w:w="56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产出</w:t>
            </w:r>
          </w:p>
        </w:tc>
        <w:tc>
          <w:tcPr>
            <w:tcW w:w="51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35</w:t>
            </w:r>
          </w:p>
        </w:tc>
        <w:tc>
          <w:tcPr>
            <w:tcW w:w="55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产出数量</w:t>
            </w:r>
          </w:p>
        </w:tc>
        <w:tc>
          <w:tcPr>
            <w:tcW w:w="5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20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sz w:val="20"/>
                <w:szCs w:val="20"/>
              </w:rPr>
              <w:t>项目建设按期开工率</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用以反映和考核建设工程开工目标的实现程度。</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br w:type="textWrapping"/>
            </w:r>
            <w:r>
              <w:rPr>
                <w:rFonts w:cs="仿宋"/>
                <w:kern w:val="0"/>
                <w:sz w:val="20"/>
                <w:szCs w:val="20"/>
                <w:lang w:bidi="ar"/>
              </w:rPr>
              <w:t>建设项目全部在合同约定时间内开工；</w:t>
            </w:r>
            <w:r>
              <w:rPr>
                <w:rFonts w:cs="仿宋"/>
                <w:kern w:val="0"/>
                <w:sz w:val="20"/>
                <w:szCs w:val="20"/>
                <w:lang w:bidi="ar"/>
              </w:rPr>
              <w:br w:type="textWrapping"/>
            </w:r>
            <w:r>
              <w:rPr>
                <w:rFonts w:cs="仿宋"/>
                <w:kern w:val="0"/>
                <w:sz w:val="20"/>
                <w:szCs w:val="20"/>
                <w:lang w:bidi="ar"/>
              </w:rPr>
              <w:t>（两个标段都按合同约定开工得分10分，一个未按约定开工扣5分。）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sz w:val="20"/>
                <w:szCs w:val="20"/>
              </w:rPr>
              <w:t>标段二合同约定计划开工时间为2023年5月22日，截止评价日，项目第二标段还未正式开工，已晚于合同约定的开工时间2个月</w:t>
            </w:r>
            <w:r>
              <w:rPr>
                <w:rFonts w:hint="eastAsia" w:cs="仿宋"/>
                <w:sz w:val="20"/>
                <w:szCs w:val="20"/>
                <w:lang w:val="en-US" w:eastAsia="zh-CN"/>
              </w:rPr>
              <w:t>完</w:t>
            </w:r>
            <w:r>
              <w:rPr>
                <w:rFonts w:cs="仿宋"/>
                <w:sz w:val="20"/>
                <w:szCs w:val="20"/>
              </w:rPr>
              <w:t>成，扣5分。</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sz w:val="20"/>
                <w:szCs w:val="20"/>
              </w:rPr>
              <w:t>6</w:t>
            </w:r>
          </w:p>
        </w:tc>
      </w:tr>
      <w:tr>
        <w:tblPrEx>
          <w:tblLayout w:type="fixed"/>
          <w:tblCellMar>
            <w:top w:w="0" w:type="dxa"/>
            <w:left w:w="108" w:type="dxa"/>
            <w:bottom w:w="0" w:type="dxa"/>
            <w:right w:w="108" w:type="dxa"/>
          </w:tblCellMar>
        </w:tblPrEx>
        <w:trPr>
          <w:trHeight w:val="1575"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3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sz w:val="20"/>
                <w:szCs w:val="20"/>
              </w:rPr>
              <w:t>土地平整率</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用以反映和考核项目前期土地平整任务完工的实现程度。</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按项目前期土地平整任务完工的实现程度的比例评分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sz w:val="20"/>
                <w:szCs w:val="20"/>
              </w:rPr>
              <w:t>如期完成本项任务</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w:t>
            </w:r>
          </w:p>
        </w:tc>
      </w:tr>
      <w:tr>
        <w:tblPrEx>
          <w:tblLayout w:type="fixed"/>
          <w:tblCellMar>
            <w:top w:w="0" w:type="dxa"/>
            <w:left w:w="108" w:type="dxa"/>
            <w:bottom w:w="0" w:type="dxa"/>
            <w:right w:w="108" w:type="dxa"/>
          </w:tblCellMar>
        </w:tblPrEx>
        <w:trPr>
          <w:trHeight w:val="191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产出质量</w:t>
            </w:r>
          </w:p>
        </w:tc>
        <w:tc>
          <w:tcPr>
            <w:tcW w:w="53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5</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工程验收合格率</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5</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用以反映和考核已完工项目验收质量目标的实现程度。</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验收合格率=（验收合格产出数/实际产出数）×100%。</w:t>
            </w:r>
            <w:r>
              <w:rPr>
                <w:rFonts w:cs="仿宋"/>
                <w:kern w:val="0"/>
                <w:sz w:val="20"/>
                <w:szCs w:val="20"/>
                <w:lang w:bidi="ar"/>
              </w:rPr>
              <w:br w:type="textWrapping"/>
            </w:r>
            <w:r>
              <w:rPr>
                <w:rFonts w:cs="仿宋"/>
                <w:kern w:val="0"/>
                <w:sz w:val="20"/>
                <w:szCs w:val="20"/>
                <w:lang w:bidi="ar"/>
              </w:rPr>
              <w:t>（验收合格率100%，得4分；低于100%时，得分=验收合格率×4分。）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sz w:val="20"/>
                <w:szCs w:val="20"/>
              </w:rPr>
              <w:t>项目阶段性工程如土地平整、三通一平等工程验收均合格</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5</w:t>
            </w:r>
          </w:p>
        </w:tc>
      </w:tr>
      <w:tr>
        <w:tblPrEx>
          <w:tblLayout w:type="fixed"/>
          <w:tblCellMar>
            <w:top w:w="0" w:type="dxa"/>
            <w:left w:w="108" w:type="dxa"/>
            <w:bottom w:w="0" w:type="dxa"/>
            <w:right w:w="108" w:type="dxa"/>
          </w:tblCellMar>
        </w:tblPrEx>
        <w:trPr>
          <w:trHeight w:val="164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产出时效</w:t>
            </w:r>
          </w:p>
        </w:tc>
        <w:tc>
          <w:tcPr>
            <w:tcW w:w="53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5</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建设进度及时性</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5</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项目建设实际完成时间与计划完成时间的比较，用以反映和考核项目建设进度时效目标的实现程度。</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根据工程进度进行综合评价。</w:t>
            </w:r>
            <w:r>
              <w:rPr>
                <w:rFonts w:cs="仿宋"/>
                <w:kern w:val="0"/>
                <w:sz w:val="20"/>
                <w:szCs w:val="20"/>
                <w:lang w:bidi="ar"/>
              </w:rPr>
              <w:br w:type="textWrapping"/>
            </w:r>
            <w:r>
              <w:rPr>
                <w:rFonts w:cs="仿宋"/>
                <w:kern w:val="0"/>
                <w:sz w:val="20"/>
                <w:szCs w:val="20"/>
                <w:lang w:bidi="ar"/>
              </w:rPr>
              <w:t>（达成预期指标、部分达成预期指标并具有一定效果、未达成预期指标且效果较差三档，分别按照指标分值的100</w:t>
            </w:r>
            <w:r>
              <w:rPr>
                <w:rFonts w:hint="eastAsia" w:cs="仿宋"/>
                <w:kern w:val="0"/>
                <w:sz w:val="20"/>
                <w:szCs w:val="20"/>
                <w:lang w:val="en-US" w:eastAsia="zh-CN" w:bidi="ar"/>
              </w:rPr>
              <w:t>%</w:t>
            </w:r>
            <w:r>
              <w:rPr>
                <w:rFonts w:cs="仿宋"/>
                <w:kern w:val="0"/>
                <w:sz w:val="20"/>
                <w:szCs w:val="20"/>
                <w:lang w:bidi="ar"/>
              </w:rPr>
              <w:t>-80%（含）、80</w:t>
            </w:r>
            <w:r>
              <w:rPr>
                <w:rFonts w:hint="eastAsia" w:cs="仿宋"/>
                <w:kern w:val="0"/>
                <w:sz w:val="20"/>
                <w:szCs w:val="20"/>
                <w:lang w:val="en-US" w:eastAsia="zh-CN" w:bidi="ar"/>
              </w:rPr>
              <w:t>%</w:t>
            </w:r>
            <w:r>
              <w:rPr>
                <w:rFonts w:cs="仿宋"/>
                <w:kern w:val="0"/>
                <w:sz w:val="20"/>
                <w:szCs w:val="20"/>
                <w:lang w:bidi="ar"/>
              </w:rPr>
              <w:t>-60%（含）、60</w:t>
            </w:r>
            <w:r>
              <w:rPr>
                <w:rFonts w:hint="eastAsia" w:cs="仿宋"/>
                <w:kern w:val="0"/>
                <w:sz w:val="20"/>
                <w:szCs w:val="20"/>
                <w:lang w:val="en-US" w:eastAsia="zh-CN" w:bidi="ar"/>
              </w:rPr>
              <w:t>%</w:t>
            </w:r>
            <w:r>
              <w:rPr>
                <w:rFonts w:cs="仿宋"/>
                <w:kern w:val="0"/>
                <w:sz w:val="20"/>
                <w:szCs w:val="20"/>
                <w:lang w:bidi="ar"/>
              </w:rPr>
              <w:t>-0%评分。）</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kern w:val="0"/>
                <w:sz w:val="20"/>
                <w:szCs w:val="20"/>
                <w:lang w:bidi="ar"/>
              </w:rPr>
              <w:t>标段二合同约定计划开工时间为2023年5月22日，截止评价日，项目第二标段还未正式开工，已晚于合同约定的开工时间2个月，必定会导致整体工程建设进度延后，扣1分</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4</w:t>
            </w:r>
          </w:p>
        </w:tc>
      </w:tr>
      <w:tr>
        <w:tblPrEx>
          <w:tblLayout w:type="fixed"/>
          <w:tblCellMar>
            <w:top w:w="0" w:type="dxa"/>
            <w:left w:w="108" w:type="dxa"/>
            <w:bottom w:w="0" w:type="dxa"/>
            <w:right w:w="108" w:type="dxa"/>
          </w:tblCellMar>
        </w:tblPrEx>
        <w:trPr>
          <w:trHeight w:val="900" w:hRule="atLeast"/>
          <w:jc w:val="center"/>
        </w:trPr>
        <w:tc>
          <w:tcPr>
            <w:tcW w:w="562" w:type="dxa"/>
            <w:vMerge w:val="restart"/>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效益</w:t>
            </w:r>
          </w:p>
        </w:tc>
        <w:tc>
          <w:tcPr>
            <w:tcW w:w="518" w:type="dxa"/>
            <w:vMerge w:val="restart"/>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30</w:t>
            </w:r>
          </w:p>
        </w:tc>
        <w:tc>
          <w:tcPr>
            <w:tcW w:w="558" w:type="dxa"/>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社会效益</w:t>
            </w:r>
          </w:p>
        </w:tc>
        <w:tc>
          <w:tcPr>
            <w:tcW w:w="532" w:type="dxa"/>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施工安全保障</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用以反映和考核项目施工过程中的安全保障情况。</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发生重大事故或较大事故，得0分；一般安全生产事故每发生一起扣2分，扣完为止。</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kern w:val="0"/>
                <w:sz w:val="20"/>
                <w:szCs w:val="20"/>
                <w:lang w:bidi="ar"/>
              </w:rPr>
              <w:t>本项目施工中未发生重大事故。</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w:t>
            </w:r>
          </w:p>
        </w:tc>
      </w:tr>
      <w:tr>
        <w:tblPrEx>
          <w:tblLayout w:type="fixed"/>
          <w:tblCellMar>
            <w:top w:w="0" w:type="dxa"/>
            <w:left w:w="108" w:type="dxa"/>
            <w:bottom w:w="0" w:type="dxa"/>
            <w:right w:w="108" w:type="dxa"/>
          </w:tblCellMar>
        </w:tblPrEx>
        <w:trPr>
          <w:trHeight w:val="1080" w:hRule="atLeast"/>
          <w:jc w:val="center"/>
        </w:trPr>
        <w:tc>
          <w:tcPr>
            <w:tcW w:w="562"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生态效益</w:t>
            </w:r>
          </w:p>
        </w:tc>
        <w:tc>
          <w:tcPr>
            <w:tcW w:w="532" w:type="dxa"/>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生态环境保护</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kern w:val="0"/>
                <w:sz w:val="20"/>
                <w:szCs w:val="20"/>
                <w:lang w:bidi="ar"/>
              </w:rPr>
              <w:t>用以反映和考核项目建设期间对生态环境造成的影响。</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发生环保处罚，得0分；发生一起环保投诉或事故扣2分，扣完为止。</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kern w:val="0"/>
                <w:sz w:val="20"/>
                <w:szCs w:val="20"/>
                <w:lang w:bidi="ar"/>
              </w:rPr>
              <w:t>本项目施工中未发生环保投诉和处罚事件。</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w:t>
            </w:r>
          </w:p>
        </w:tc>
      </w:tr>
      <w:tr>
        <w:tblPrEx>
          <w:tblLayout w:type="fixed"/>
          <w:tblCellMar>
            <w:top w:w="0" w:type="dxa"/>
            <w:left w:w="108" w:type="dxa"/>
            <w:bottom w:w="0" w:type="dxa"/>
            <w:right w:w="108" w:type="dxa"/>
          </w:tblCellMar>
        </w:tblPrEx>
        <w:trPr>
          <w:trHeight w:val="1580" w:hRule="atLeast"/>
          <w:jc w:val="center"/>
        </w:trPr>
        <w:tc>
          <w:tcPr>
            <w:tcW w:w="562"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18" w:type="dxa"/>
            <w:vMerge w:val="continue"/>
            <w:tcBorders>
              <w:top w:val="single" w:color="000000" w:sz="4" w:space="0"/>
              <w:left w:val="single" w:color="000000" w:sz="4" w:space="0"/>
              <w:right w:val="single" w:color="000000" w:sz="4" w:space="0"/>
            </w:tcBorders>
            <w:vAlign w:val="center"/>
          </w:tcPr>
          <w:p>
            <w:pPr>
              <w:widowControl/>
              <w:snapToGrid w:val="0"/>
              <w:spacing w:line="320" w:lineRule="exact"/>
              <w:ind w:firstLine="0"/>
              <w:jc w:val="center"/>
              <w:rPr>
                <w:rFonts w:cs="仿宋"/>
                <w:sz w:val="20"/>
                <w:szCs w:val="20"/>
              </w:rPr>
            </w:pPr>
          </w:p>
        </w:tc>
        <w:tc>
          <w:tcPr>
            <w:tcW w:w="558" w:type="dxa"/>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可持续性</w:t>
            </w:r>
          </w:p>
        </w:tc>
        <w:tc>
          <w:tcPr>
            <w:tcW w:w="532" w:type="dxa"/>
            <w:tcBorders>
              <w:top w:val="single" w:color="000000" w:sz="4" w:space="0"/>
              <w:left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项目可持续性</w:t>
            </w: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kern w:val="0"/>
                <w:sz w:val="20"/>
                <w:szCs w:val="20"/>
                <w:lang w:bidi="ar"/>
              </w:rPr>
              <w:t>用以反映和考核项目后续的可持续影响情况。</w:t>
            </w: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textAlignment w:val="center"/>
              <w:rPr>
                <w:rFonts w:cs="仿宋"/>
                <w:sz w:val="20"/>
                <w:szCs w:val="20"/>
              </w:rPr>
            </w:pPr>
            <w:r>
              <w:rPr>
                <w:rFonts w:cs="仿宋"/>
                <w:kern w:val="0"/>
                <w:sz w:val="20"/>
                <w:szCs w:val="20"/>
                <w:lang w:bidi="ar"/>
              </w:rPr>
              <w:t>从项目后期完成后的可持续性影响方面进行考核评价。</w:t>
            </w: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left"/>
              <w:textAlignment w:val="center"/>
              <w:rPr>
                <w:rFonts w:cs="仿宋"/>
                <w:sz w:val="20"/>
                <w:szCs w:val="20"/>
              </w:rPr>
            </w:pPr>
            <w:r>
              <w:rPr>
                <w:rFonts w:cs="仿宋"/>
                <w:sz w:val="20"/>
                <w:szCs w:val="20"/>
              </w:rPr>
              <w:t>本项目完成后，可明显改善崇阳县应急管理现状，对应急管理局防范化解重大风险隐患，提升自然灾害防治、生产安全事故预防和应急处置能力产生较好的可持续性影响</w:t>
            </w: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w:t>
            </w:r>
          </w:p>
        </w:tc>
      </w:tr>
      <w:tr>
        <w:tblPrEx>
          <w:tblLayout w:type="fixed"/>
          <w:tblCellMar>
            <w:top w:w="0" w:type="dxa"/>
            <w:left w:w="108" w:type="dxa"/>
            <w:bottom w:w="0" w:type="dxa"/>
            <w:right w:w="108" w:type="dxa"/>
          </w:tblCellMar>
        </w:tblPrEx>
        <w:trPr>
          <w:trHeight w:val="380" w:hRule="atLeast"/>
          <w:jc w:val="center"/>
        </w:trPr>
        <w:tc>
          <w:tcPr>
            <w:tcW w:w="56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总分</w:t>
            </w:r>
          </w:p>
        </w:tc>
        <w:tc>
          <w:tcPr>
            <w:tcW w:w="51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100</w:t>
            </w:r>
          </w:p>
        </w:tc>
        <w:tc>
          <w:tcPr>
            <w:tcW w:w="5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rPr>
                <w:rFonts w:cs="仿宋"/>
                <w:sz w:val="20"/>
                <w:szCs w:val="20"/>
              </w:rPr>
            </w:pPr>
          </w:p>
        </w:tc>
        <w:tc>
          <w:tcPr>
            <w:tcW w:w="53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rPr>
                <w:rFonts w:cs="仿宋"/>
                <w:sz w:val="20"/>
                <w:szCs w:val="20"/>
              </w:rPr>
            </w:pPr>
          </w:p>
        </w:tc>
        <w:tc>
          <w:tcPr>
            <w:tcW w:w="51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kern w:val="0"/>
                <w:sz w:val="20"/>
                <w:szCs w:val="20"/>
                <w:lang w:bidi="ar"/>
              </w:rPr>
              <w:t>100</w:t>
            </w:r>
          </w:p>
        </w:tc>
        <w:tc>
          <w:tcPr>
            <w:tcW w:w="205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rPr>
                <w:rFonts w:cs="仿宋"/>
                <w:sz w:val="20"/>
                <w:szCs w:val="20"/>
              </w:rPr>
            </w:pPr>
          </w:p>
        </w:tc>
        <w:tc>
          <w:tcPr>
            <w:tcW w:w="277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rPr>
                <w:rFonts w:cs="仿宋"/>
                <w:sz w:val="20"/>
                <w:szCs w:val="20"/>
              </w:rPr>
            </w:pPr>
          </w:p>
        </w:tc>
        <w:tc>
          <w:tcPr>
            <w:tcW w:w="333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20" w:lineRule="exact"/>
              <w:ind w:firstLine="0"/>
              <w:rPr>
                <w:rFonts w:eastAsia="仿宋_GB2312" w:cs="仿宋_GB2312"/>
                <w:sz w:val="20"/>
                <w:szCs w:val="20"/>
              </w:rPr>
            </w:pPr>
          </w:p>
        </w:tc>
        <w:tc>
          <w:tcPr>
            <w:tcW w:w="643"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0"/>
              <w:jc w:val="center"/>
              <w:textAlignment w:val="center"/>
              <w:rPr>
                <w:rFonts w:cs="仿宋"/>
                <w:sz w:val="20"/>
                <w:szCs w:val="20"/>
              </w:rPr>
            </w:pPr>
            <w:r>
              <w:rPr>
                <w:rFonts w:cs="仿宋"/>
                <w:sz w:val="20"/>
                <w:szCs w:val="20"/>
              </w:rPr>
              <w:t>83.15</w:t>
            </w:r>
          </w:p>
        </w:tc>
      </w:tr>
    </w:tbl>
    <w:p>
      <w:pPr>
        <w:spacing w:line="320" w:lineRule="exact"/>
        <w:ind w:firstLine="0"/>
        <w:sectPr>
          <w:headerReference r:id="rId10" w:type="default"/>
          <w:footerReference r:id="rId11" w:type="default"/>
          <w:pgSz w:w="16838" w:h="11906" w:orient="landscape"/>
          <w:pgMar w:top="2098" w:right="1474" w:bottom="1984" w:left="1587" w:header="851" w:footer="1304" w:gutter="0"/>
          <w:pgNumType w:fmt="decimal"/>
          <w:formProt w:val="0"/>
          <w:docGrid w:type="linesAndChars" w:linePitch="610" w:charSpace="-3482"/>
        </w:sectPr>
      </w:pPr>
    </w:p>
    <w:p>
      <w:pPr>
        <w:pStyle w:val="4"/>
        <w:shd w:val="clear" w:fill="FFFFFF"/>
        <w:spacing w:before="0" w:after="0" w:line="560" w:lineRule="exact"/>
        <w:ind w:firstLine="610"/>
        <w:contextualSpacing/>
        <w:jc w:val="left"/>
        <w:rPr>
          <w:rFonts w:ascii="Times New Roman" w:hAnsi="Times New Roman" w:eastAsia="楷体" w:cs="Times New Roman"/>
        </w:rPr>
      </w:pPr>
      <w:bookmarkStart w:id="29" w:name="__RefHeading___Toc142235583"/>
      <w:bookmarkEnd w:id="29"/>
      <w:r>
        <w:rPr>
          <w:rFonts w:ascii="Times New Roman" w:hAnsi="Times New Roman" w:eastAsia="楷体" w:cs="Times New Roman"/>
        </w:rPr>
        <w:t>附件2 项目绩效目标申报表</w:t>
      </w:r>
    </w:p>
    <w:p>
      <w:pPr>
        <w:widowControl/>
        <w:ind w:firstLine="767"/>
        <w:jc w:val="center"/>
        <w:rPr>
          <w:rFonts w:ascii="宋体" w:hAnsi="宋体" w:eastAsia="宋体" w:cs="宋体"/>
          <w:sz w:val="40"/>
          <w:szCs w:val="40"/>
        </w:rPr>
      </w:pPr>
      <w:r>
        <w:rPr>
          <w:rFonts w:ascii="宋体" w:hAnsi="宋体" w:eastAsia="宋体" w:cs="宋体"/>
          <w:sz w:val="40"/>
          <w:szCs w:val="40"/>
        </w:rPr>
        <w:t>项目申报表</w:t>
      </w:r>
    </w:p>
    <w:p>
      <w:pPr>
        <w:pStyle w:val="68"/>
        <w:spacing w:line="240" w:lineRule="auto"/>
        <w:ind w:firstLine="527"/>
        <w:jc w:val="right"/>
        <w:rPr>
          <w:rFonts w:ascii="楷体_GB2312;楷体" w:hAnsi="楷体_GB2312;楷体" w:eastAsia="楷体_GB2312;楷体"/>
          <w:sz w:val="28"/>
          <w:szCs w:val="18"/>
        </w:rPr>
      </w:pPr>
      <w:r>
        <w:rPr>
          <w:rFonts w:ascii="楷体_GB2312;楷体" w:hAnsi="楷体_GB2312;楷体" w:eastAsia="楷体_GB2312;楷体"/>
          <w:sz w:val="28"/>
          <w:szCs w:val="18"/>
        </w:rPr>
        <w:t>单位: 万元</w:t>
      </w:r>
    </w:p>
    <w:tbl>
      <w:tblPr>
        <w:tblStyle w:val="19"/>
        <w:tblW w:w="9652" w:type="dxa"/>
        <w:tblInd w:w="0" w:type="dxa"/>
        <w:tblLayout w:type="fixed"/>
        <w:tblCellMar>
          <w:top w:w="0" w:type="dxa"/>
          <w:left w:w="57" w:type="dxa"/>
          <w:bottom w:w="0" w:type="dxa"/>
          <w:right w:w="57" w:type="dxa"/>
        </w:tblCellMar>
      </w:tblPr>
      <w:tblGrid>
        <w:gridCol w:w="799"/>
        <w:gridCol w:w="1137"/>
        <w:gridCol w:w="1387"/>
        <w:gridCol w:w="1594"/>
        <w:gridCol w:w="715"/>
        <w:gridCol w:w="171"/>
        <w:gridCol w:w="670"/>
        <w:gridCol w:w="210"/>
        <w:gridCol w:w="511"/>
        <w:gridCol w:w="635"/>
        <w:gridCol w:w="294"/>
        <w:gridCol w:w="1529"/>
      </w:tblGrid>
      <w:tr>
        <w:tblPrEx>
          <w:tblLayout w:type="fixed"/>
          <w:tblCellMar>
            <w:top w:w="0" w:type="dxa"/>
            <w:left w:w="57" w:type="dxa"/>
            <w:bottom w:w="0" w:type="dxa"/>
            <w:right w:w="57" w:type="dxa"/>
          </w:tblCellMar>
        </w:tblPrEx>
        <w:trPr>
          <w:trHeight w:val="495"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项目名称</w:t>
            </w:r>
          </w:p>
        </w:tc>
        <w:tc>
          <w:tcPr>
            <w:tcW w:w="3696" w:type="dxa"/>
            <w:gridSpan w:val="3"/>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崇阳县应急救援中心　</w:t>
            </w:r>
          </w:p>
        </w:tc>
        <w:tc>
          <w:tcPr>
            <w:tcW w:w="1051" w:type="dxa"/>
            <w:gridSpan w:val="3"/>
            <w:tcBorders>
              <w:top w:val="single" w:color="000000" w:sz="4" w:space="0"/>
              <w:bottom w:val="single" w:color="000000" w:sz="4" w:space="0"/>
              <w:right w:val="single" w:color="000000" w:sz="4" w:space="0"/>
            </w:tcBorders>
            <w:vAlign w:val="center"/>
          </w:tcPr>
          <w:p>
            <w:pPr>
              <w:widowControl/>
              <w:snapToGrid w:val="0"/>
              <w:spacing w:line="360" w:lineRule="exact"/>
              <w:ind w:firstLine="0"/>
              <w:rPr>
                <w:rFonts w:ascii="仿宋_GB2312" w:hAnsi="仿宋_GB2312" w:eastAsia="仿宋_GB2312" w:cs="Arial"/>
                <w:kern w:val="0"/>
                <w:sz w:val="21"/>
                <w:szCs w:val="21"/>
              </w:rPr>
            </w:pPr>
            <w:r>
              <w:rPr>
                <w:rFonts w:ascii="仿宋_GB2312" w:hAnsi="仿宋_GB2312" w:eastAsia="仿宋_GB2312" w:cs="Arial"/>
                <w:kern w:val="0"/>
                <w:sz w:val="21"/>
                <w:szCs w:val="21"/>
              </w:rPr>
              <w:t>项目编码</w:t>
            </w:r>
          </w:p>
        </w:tc>
        <w:tc>
          <w:tcPr>
            <w:tcW w:w="2969" w:type="dxa"/>
            <w:gridSpan w:val="4"/>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42122323067T000000132　</w:t>
            </w:r>
          </w:p>
        </w:tc>
      </w:tr>
      <w:tr>
        <w:tblPrEx>
          <w:tblLayout w:type="fixed"/>
          <w:tblCellMar>
            <w:top w:w="0" w:type="dxa"/>
            <w:left w:w="57" w:type="dxa"/>
            <w:bottom w:w="0" w:type="dxa"/>
            <w:right w:w="57" w:type="dxa"/>
          </w:tblCellMar>
        </w:tblPrEx>
        <w:trPr>
          <w:trHeight w:val="495"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项目主管部门</w:t>
            </w:r>
          </w:p>
        </w:tc>
        <w:tc>
          <w:tcPr>
            <w:tcW w:w="3696" w:type="dxa"/>
            <w:gridSpan w:val="3"/>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崇阳县应急管理局　</w:t>
            </w:r>
          </w:p>
        </w:tc>
        <w:tc>
          <w:tcPr>
            <w:tcW w:w="1051" w:type="dxa"/>
            <w:gridSpan w:val="3"/>
            <w:tcBorders>
              <w:top w:val="single" w:color="000000" w:sz="4" w:space="0"/>
              <w:bottom w:val="single" w:color="000000" w:sz="4" w:space="0"/>
              <w:right w:val="single" w:color="000000" w:sz="4" w:space="0"/>
            </w:tcBorders>
            <w:vAlign w:val="center"/>
          </w:tcPr>
          <w:p>
            <w:pPr>
              <w:widowControl/>
              <w:snapToGrid w:val="0"/>
              <w:spacing w:line="360" w:lineRule="exact"/>
              <w:ind w:firstLine="0"/>
              <w:rPr>
                <w:rFonts w:ascii="仿宋_GB2312" w:hAnsi="仿宋_GB2312" w:eastAsia="仿宋_GB2312" w:cs="Arial"/>
                <w:kern w:val="0"/>
                <w:sz w:val="21"/>
                <w:szCs w:val="21"/>
              </w:rPr>
            </w:pPr>
            <w:r>
              <w:rPr>
                <w:rFonts w:ascii="仿宋_GB2312" w:hAnsi="仿宋_GB2312" w:eastAsia="仿宋_GB2312" w:cs="Arial"/>
                <w:kern w:val="0"/>
                <w:sz w:val="21"/>
                <w:szCs w:val="21"/>
              </w:rPr>
              <w:t>项目执行单位</w:t>
            </w:r>
          </w:p>
        </w:tc>
        <w:tc>
          <w:tcPr>
            <w:tcW w:w="2969" w:type="dxa"/>
            <w:gridSpan w:val="4"/>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崇阳县应急管理局　</w:t>
            </w:r>
          </w:p>
        </w:tc>
      </w:tr>
      <w:tr>
        <w:tblPrEx>
          <w:tblLayout w:type="fixed"/>
          <w:tblCellMar>
            <w:top w:w="0" w:type="dxa"/>
            <w:left w:w="57" w:type="dxa"/>
            <w:bottom w:w="0" w:type="dxa"/>
            <w:right w:w="57" w:type="dxa"/>
          </w:tblCellMar>
        </w:tblPrEx>
        <w:trPr>
          <w:trHeight w:val="495"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项目负责人</w:t>
            </w:r>
          </w:p>
        </w:tc>
        <w:tc>
          <w:tcPr>
            <w:tcW w:w="3696" w:type="dxa"/>
            <w:gridSpan w:val="3"/>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程卫明　</w:t>
            </w:r>
          </w:p>
        </w:tc>
        <w:tc>
          <w:tcPr>
            <w:tcW w:w="1051" w:type="dxa"/>
            <w:gridSpan w:val="3"/>
            <w:tcBorders>
              <w:top w:val="single" w:color="000000" w:sz="4" w:space="0"/>
              <w:bottom w:val="single" w:color="000000" w:sz="4" w:space="0"/>
              <w:right w:val="single" w:color="000000" w:sz="4" w:space="0"/>
            </w:tcBorders>
            <w:vAlign w:val="center"/>
          </w:tcPr>
          <w:p>
            <w:pPr>
              <w:widowControl/>
              <w:snapToGrid w:val="0"/>
              <w:spacing w:line="360" w:lineRule="exact"/>
              <w:ind w:firstLine="0"/>
              <w:rPr>
                <w:rFonts w:ascii="仿宋_GB2312" w:hAnsi="仿宋_GB2312" w:eastAsia="仿宋_GB2312" w:cs="Arial"/>
                <w:kern w:val="0"/>
                <w:sz w:val="21"/>
                <w:szCs w:val="21"/>
              </w:rPr>
            </w:pPr>
            <w:r>
              <w:rPr>
                <w:rFonts w:ascii="仿宋_GB2312" w:hAnsi="仿宋_GB2312" w:eastAsia="仿宋_GB2312" w:cs="Arial"/>
                <w:kern w:val="0"/>
                <w:sz w:val="21"/>
                <w:szCs w:val="21"/>
              </w:rPr>
              <w:t>联系电话</w:t>
            </w:r>
          </w:p>
        </w:tc>
        <w:tc>
          <w:tcPr>
            <w:tcW w:w="2969" w:type="dxa"/>
            <w:gridSpan w:val="4"/>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13986613155　</w:t>
            </w:r>
          </w:p>
        </w:tc>
      </w:tr>
      <w:tr>
        <w:tblPrEx>
          <w:tblLayout w:type="fixed"/>
          <w:tblCellMar>
            <w:top w:w="0" w:type="dxa"/>
            <w:left w:w="57" w:type="dxa"/>
            <w:bottom w:w="0" w:type="dxa"/>
            <w:right w:w="57" w:type="dxa"/>
          </w:tblCellMar>
        </w:tblPrEx>
        <w:trPr>
          <w:trHeight w:val="495"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单位地址</w:t>
            </w:r>
          </w:p>
        </w:tc>
        <w:tc>
          <w:tcPr>
            <w:tcW w:w="3696" w:type="dxa"/>
            <w:gridSpan w:val="3"/>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崇阳县住建大厦10楼　</w:t>
            </w:r>
          </w:p>
        </w:tc>
        <w:tc>
          <w:tcPr>
            <w:tcW w:w="1051" w:type="dxa"/>
            <w:gridSpan w:val="3"/>
            <w:tcBorders>
              <w:top w:val="single" w:color="000000" w:sz="4" w:space="0"/>
              <w:bottom w:val="single" w:color="000000" w:sz="4" w:space="0"/>
              <w:right w:val="single" w:color="000000" w:sz="4" w:space="0"/>
            </w:tcBorders>
            <w:vAlign w:val="center"/>
          </w:tcPr>
          <w:p>
            <w:pPr>
              <w:widowControl/>
              <w:snapToGrid w:val="0"/>
              <w:spacing w:line="360" w:lineRule="exact"/>
              <w:ind w:firstLine="0"/>
              <w:rPr>
                <w:rFonts w:ascii="仿宋_GB2312" w:hAnsi="仿宋_GB2312" w:eastAsia="仿宋_GB2312" w:cs="Arial"/>
                <w:kern w:val="0"/>
                <w:sz w:val="21"/>
                <w:szCs w:val="21"/>
              </w:rPr>
            </w:pPr>
            <w:r>
              <w:rPr>
                <w:rFonts w:ascii="仿宋_GB2312" w:hAnsi="仿宋_GB2312" w:eastAsia="仿宋_GB2312" w:cs="Arial"/>
                <w:kern w:val="0"/>
                <w:sz w:val="21"/>
                <w:szCs w:val="21"/>
              </w:rPr>
              <w:t>邮政编码</w:t>
            </w:r>
          </w:p>
        </w:tc>
        <w:tc>
          <w:tcPr>
            <w:tcW w:w="2969" w:type="dxa"/>
            <w:gridSpan w:val="4"/>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437500　</w:t>
            </w:r>
          </w:p>
        </w:tc>
      </w:tr>
      <w:tr>
        <w:tblPrEx>
          <w:tblLayout w:type="fixed"/>
          <w:tblCellMar>
            <w:top w:w="0" w:type="dxa"/>
            <w:left w:w="57" w:type="dxa"/>
            <w:bottom w:w="0" w:type="dxa"/>
            <w:right w:w="57" w:type="dxa"/>
          </w:tblCellMar>
        </w:tblPrEx>
        <w:trPr>
          <w:trHeight w:val="495"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项目属性</w:t>
            </w:r>
          </w:p>
        </w:tc>
        <w:tc>
          <w:tcPr>
            <w:tcW w:w="7716" w:type="dxa"/>
            <w:gridSpan w:val="10"/>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自建</w:t>
            </w:r>
          </w:p>
        </w:tc>
      </w:tr>
      <w:tr>
        <w:tblPrEx>
          <w:tblLayout w:type="fixed"/>
          <w:tblCellMar>
            <w:top w:w="0" w:type="dxa"/>
            <w:left w:w="57" w:type="dxa"/>
            <w:bottom w:w="0" w:type="dxa"/>
            <w:right w:w="57" w:type="dxa"/>
          </w:tblCellMar>
        </w:tblPrEx>
        <w:trPr>
          <w:trHeight w:val="495"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支出项目类别</w:t>
            </w:r>
          </w:p>
        </w:tc>
        <w:tc>
          <w:tcPr>
            <w:tcW w:w="7716" w:type="dxa"/>
            <w:gridSpan w:val="10"/>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311—特定目标常年性项目</w:t>
            </w:r>
          </w:p>
        </w:tc>
      </w:tr>
      <w:tr>
        <w:tblPrEx>
          <w:tblLayout w:type="fixed"/>
          <w:tblCellMar>
            <w:top w:w="0" w:type="dxa"/>
            <w:left w:w="57" w:type="dxa"/>
            <w:bottom w:w="0" w:type="dxa"/>
            <w:right w:w="57" w:type="dxa"/>
          </w:tblCellMar>
        </w:tblPrEx>
        <w:trPr>
          <w:trHeight w:val="495"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起始年度</w:t>
            </w:r>
          </w:p>
        </w:tc>
        <w:tc>
          <w:tcPr>
            <w:tcW w:w="3696" w:type="dxa"/>
            <w:gridSpan w:val="3"/>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2022　</w:t>
            </w:r>
          </w:p>
        </w:tc>
        <w:tc>
          <w:tcPr>
            <w:tcW w:w="1051" w:type="dxa"/>
            <w:gridSpan w:val="3"/>
            <w:tcBorders>
              <w:top w:val="single" w:color="000000" w:sz="4" w:space="0"/>
              <w:bottom w:val="single" w:color="000000" w:sz="4" w:space="0"/>
              <w:right w:val="single" w:color="000000" w:sz="4" w:space="0"/>
            </w:tcBorders>
            <w:vAlign w:val="center"/>
          </w:tcPr>
          <w:p>
            <w:pPr>
              <w:widowControl/>
              <w:snapToGrid w:val="0"/>
              <w:spacing w:line="360" w:lineRule="exact"/>
              <w:ind w:firstLine="0"/>
              <w:rPr>
                <w:rFonts w:ascii="仿宋_GB2312" w:hAnsi="仿宋_GB2312" w:eastAsia="仿宋_GB2312" w:cs="Arial"/>
                <w:kern w:val="0"/>
                <w:sz w:val="21"/>
                <w:szCs w:val="21"/>
              </w:rPr>
            </w:pPr>
            <w:r>
              <w:rPr>
                <w:rFonts w:ascii="仿宋_GB2312" w:hAnsi="仿宋_GB2312" w:eastAsia="仿宋_GB2312" w:cs="Arial"/>
                <w:kern w:val="0"/>
                <w:sz w:val="21"/>
                <w:szCs w:val="21"/>
              </w:rPr>
              <w:t>终止年度</w:t>
            </w:r>
          </w:p>
        </w:tc>
        <w:tc>
          <w:tcPr>
            <w:tcW w:w="2969" w:type="dxa"/>
            <w:gridSpan w:val="4"/>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2024　</w:t>
            </w:r>
          </w:p>
        </w:tc>
      </w:tr>
      <w:tr>
        <w:tblPrEx>
          <w:tblLayout w:type="fixed"/>
          <w:tblCellMar>
            <w:top w:w="0" w:type="dxa"/>
            <w:left w:w="57" w:type="dxa"/>
            <w:bottom w:w="0" w:type="dxa"/>
            <w:right w:w="57" w:type="dxa"/>
          </w:tblCellMar>
        </w:tblPrEx>
        <w:trPr>
          <w:trHeight w:val="870"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项目立项依据</w:t>
            </w:r>
          </w:p>
        </w:tc>
        <w:tc>
          <w:tcPr>
            <w:tcW w:w="7716" w:type="dxa"/>
            <w:gridSpan w:val="10"/>
            <w:tcBorders>
              <w:top w:val="single" w:color="000000" w:sz="4" w:space="0"/>
              <w:bottom w:val="single" w:color="000000" w:sz="4" w:space="0"/>
              <w:right w:val="single" w:color="000000" w:sz="4" w:space="0"/>
            </w:tcBorders>
            <w:vAlign w:val="center"/>
          </w:tcPr>
          <w:p>
            <w:pPr>
              <w:widowControl/>
              <w:snapToGrid w:val="0"/>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崇阳县疫后重振补短板强功能“十大工程”三年行动方案(2020—2022年)》。《关于崇阳县应急救援中心项目建议书的批复》【崇发改字（2022）290号】、《关于崇阳县应急救援中心可行性研究报告的批复》（崇发改字〔2022〕336号）、《关于崇阳县应急救援中心初步设计的批复》（崇发改字〔2022〕403号）《</w:t>
            </w:r>
            <w:r>
              <w:rPr>
                <w:rFonts w:hint="eastAsia" w:ascii="仿宋_GB2312" w:hAnsi="仿宋_GB2312" w:eastAsia="仿宋_GB2312" w:cs="Arial"/>
                <w:kern w:val="0"/>
                <w:sz w:val="21"/>
                <w:szCs w:val="21"/>
                <w:lang w:val="en-US" w:eastAsia="zh-CN"/>
              </w:rPr>
              <w:t>湖北省发展和改革委员会</w:t>
            </w:r>
            <w:r>
              <w:rPr>
                <w:rFonts w:ascii="仿宋_GB2312" w:hAnsi="仿宋_GB2312" w:eastAsia="仿宋_GB2312" w:cs="Arial"/>
                <w:kern w:val="0"/>
                <w:sz w:val="21"/>
                <w:szCs w:val="21"/>
              </w:rPr>
              <w:t>关于下达崇阳县应急救援中心等项目2021年省内固定资产投资计划的通知》（鄂发改投资函〔2021〕95号）</w:t>
            </w:r>
          </w:p>
        </w:tc>
      </w:tr>
      <w:tr>
        <w:tblPrEx>
          <w:tblLayout w:type="fixed"/>
          <w:tblCellMar>
            <w:top w:w="0" w:type="dxa"/>
            <w:left w:w="57" w:type="dxa"/>
            <w:bottom w:w="0" w:type="dxa"/>
            <w:right w:w="57" w:type="dxa"/>
          </w:tblCellMar>
        </w:tblPrEx>
        <w:trPr>
          <w:trHeight w:val="984"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项目实施方案</w:t>
            </w:r>
          </w:p>
        </w:tc>
        <w:tc>
          <w:tcPr>
            <w:tcW w:w="7716" w:type="dxa"/>
            <w:gridSpan w:val="10"/>
            <w:tcBorders>
              <w:top w:val="single" w:color="000000" w:sz="4" w:space="0"/>
              <w:bottom w:val="single" w:color="000000" w:sz="4" w:space="0"/>
              <w:right w:val="single" w:color="000000" w:sz="4" w:space="0"/>
            </w:tcBorders>
            <w:vAlign w:val="center"/>
          </w:tcPr>
          <w:p>
            <w:pPr>
              <w:widowControl/>
              <w:snapToGrid w:val="0"/>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新建综合应急救援中心，其中：森林消防营房2885.83㎡、科普教育培训区1442.91㎡、避灾安置区2885.83㎡，共计建筑面积7214.57㎡；另外，配套其他用房536.84㎡，新建直升机停机坪，面积4500㎡；配套购置应急救援装备等相关设备94台套；配套供配电、给排水等公用工程。</w:t>
            </w:r>
          </w:p>
        </w:tc>
      </w:tr>
      <w:tr>
        <w:tblPrEx>
          <w:tblLayout w:type="fixed"/>
          <w:tblCellMar>
            <w:top w:w="0" w:type="dxa"/>
            <w:left w:w="57" w:type="dxa"/>
            <w:bottom w:w="0" w:type="dxa"/>
            <w:right w:w="57" w:type="dxa"/>
          </w:tblCellMar>
        </w:tblPrEx>
        <w:trPr>
          <w:trHeight w:val="615"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项目总预算</w:t>
            </w:r>
          </w:p>
        </w:tc>
        <w:tc>
          <w:tcPr>
            <w:tcW w:w="3696" w:type="dxa"/>
            <w:gridSpan w:val="3"/>
            <w:tcBorders>
              <w:top w:val="single" w:color="000000" w:sz="4" w:space="0"/>
              <w:bottom w:val="single" w:color="000000" w:sz="4" w:space="0"/>
              <w:right w:val="single" w:color="000000" w:sz="4" w:space="0"/>
            </w:tcBorders>
            <w:vAlign w:val="center"/>
          </w:tcPr>
          <w:p>
            <w:pPr>
              <w:widowControl/>
              <w:snapToGrid w:val="0"/>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7824</w:t>
            </w:r>
          </w:p>
        </w:tc>
        <w:tc>
          <w:tcPr>
            <w:tcW w:w="1051" w:type="dxa"/>
            <w:gridSpan w:val="3"/>
            <w:tcBorders>
              <w:top w:val="single" w:color="000000" w:sz="4" w:space="0"/>
              <w:bottom w:val="single" w:color="000000" w:sz="4" w:space="0"/>
              <w:right w:val="single" w:color="000000" w:sz="4" w:space="0"/>
            </w:tcBorders>
            <w:vAlign w:val="center"/>
          </w:tcPr>
          <w:p>
            <w:pPr>
              <w:widowControl/>
              <w:snapToGrid w:val="0"/>
              <w:spacing w:line="360" w:lineRule="exact"/>
              <w:ind w:firstLine="0"/>
              <w:rPr>
                <w:rFonts w:ascii="仿宋_GB2312" w:hAnsi="仿宋_GB2312" w:eastAsia="仿宋_GB2312" w:cs="Arial"/>
                <w:kern w:val="0"/>
                <w:sz w:val="21"/>
                <w:szCs w:val="21"/>
              </w:rPr>
            </w:pPr>
            <w:r>
              <w:rPr>
                <w:rFonts w:ascii="仿宋_GB2312" w:hAnsi="仿宋_GB2312" w:eastAsia="仿宋_GB2312" w:cs="Arial"/>
                <w:kern w:val="0"/>
                <w:sz w:val="21"/>
                <w:szCs w:val="21"/>
              </w:rPr>
              <w:t>项目当年预算</w:t>
            </w:r>
          </w:p>
        </w:tc>
        <w:tc>
          <w:tcPr>
            <w:tcW w:w="2969" w:type="dxa"/>
            <w:gridSpan w:val="4"/>
            <w:tcBorders>
              <w:top w:val="single" w:color="000000" w:sz="4" w:space="0"/>
              <w:bottom w:val="single" w:color="000000" w:sz="4" w:space="0"/>
              <w:right w:val="single" w:color="000000" w:sz="4" w:space="0"/>
            </w:tcBorders>
            <w:vAlign w:val="center"/>
          </w:tcPr>
          <w:p>
            <w:pPr>
              <w:widowControl/>
              <w:snapToGrid w:val="0"/>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2808</w:t>
            </w:r>
          </w:p>
        </w:tc>
      </w:tr>
      <w:tr>
        <w:tblPrEx>
          <w:tblLayout w:type="fixed"/>
          <w:tblCellMar>
            <w:top w:w="0" w:type="dxa"/>
            <w:left w:w="57" w:type="dxa"/>
            <w:bottom w:w="0" w:type="dxa"/>
            <w:right w:w="57" w:type="dxa"/>
          </w:tblCellMar>
        </w:tblPrEx>
        <w:trPr>
          <w:trHeight w:val="865"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0"/>
              <w:rPr>
                <w:rFonts w:ascii="仿宋_GB2312" w:hAnsi="仿宋_GB2312" w:eastAsia="仿宋_GB2312" w:cs="Arial"/>
                <w:kern w:val="0"/>
                <w:sz w:val="21"/>
                <w:szCs w:val="21"/>
              </w:rPr>
            </w:pPr>
            <w:r>
              <w:rPr>
                <w:rFonts w:ascii="仿宋_GB2312" w:hAnsi="仿宋_GB2312" w:eastAsia="仿宋_GB2312" w:cs="Arial"/>
                <w:kern w:val="0"/>
                <w:sz w:val="21"/>
                <w:szCs w:val="21"/>
              </w:rPr>
              <w:t>项目前两年预算及当年预算变动情况</w:t>
            </w:r>
          </w:p>
        </w:tc>
        <w:tc>
          <w:tcPr>
            <w:tcW w:w="7716" w:type="dxa"/>
            <w:gridSpan w:val="10"/>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w:t>
            </w:r>
          </w:p>
        </w:tc>
      </w:tr>
      <w:tr>
        <w:tblPrEx>
          <w:tblLayout w:type="fixed"/>
          <w:tblCellMar>
            <w:top w:w="0" w:type="dxa"/>
            <w:left w:w="57" w:type="dxa"/>
            <w:bottom w:w="0" w:type="dxa"/>
            <w:right w:w="57" w:type="dxa"/>
          </w:tblCellMar>
        </w:tblPrEx>
        <w:trPr>
          <w:trHeight w:val="450" w:hRule="atLeast"/>
        </w:trPr>
        <w:tc>
          <w:tcPr>
            <w:tcW w:w="1936" w:type="dxa"/>
            <w:gridSpan w:val="2"/>
            <w:vMerge w:val="restart"/>
            <w:tcBorders>
              <w:left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项目资金来源</w:t>
            </w:r>
          </w:p>
        </w:tc>
        <w:tc>
          <w:tcPr>
            <w:tcW w:w="4747" w:type="dxa"/>
            <w:gridSpan w:val="6"/>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来源项目</w:t>
            </w:r>
          </w:p>
        </w:tc>
        <w:tc>
          <w:tcPr>
            <w:tcW w:w="2969" w:type="dxa"/>
            <w:gridSpan w:val="4"/>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金额</w:t>
            </w:r>
          </w:p>
        </w:tc>
      </w:tr>
      <w:tr>
        <w:tblPrEx>
          <w:tblLayout w:type="fixed"/>
          <w:tblCellMar>
            <w:top w:w="0" w:type="dxa"/>
            <w:left w:w="57" w:type="dxa"/>
            <w:bottom w:w="0" w:type="dxa"/>
            <w:right w:w="57" w:type="dxa"/>
          </w:tblCellMar>
        </w:tblPrEx>
        <w:trPr>
          <w:trHeight w:val="450" w:hRule="atLeast"/>
        </w:trPr>
        <w:tc>
          <w:tcPr>
            <w:tcW w:w="1936"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p>
        </w:tc>
        <w:tc>
          <w:tcPr>
            <w:tcW w:w="4747" w:type="dxa"/>
            <w:gridSpan w:val="6"/>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合计</w:t>
            </w:r>
          </w:p>
        </w:tc>
        <w:tc>
          <w:tcPr>
            <w:tcW w:w="2969" w:type="dxa"/>
            <w:gridSpan w:val="4"/>
            <w:tcBorders>
              <w:top w:val="single" w:color="000000" w:sz="4" w:space="0"/>
              <w:bottom w:val="single" w:color="000000" w:sz="4" w:space="0"/>
              <w:right w:val="single" w:color="000000" w:sz="4" w:space="0"/>
            </w:tcBorders>
            <w:vAlign w:val="center"/>
          </w:tcPr>
          <w:p>
            <w:pPr>
              <w:widowControl/>
              <w:snapToGrid w:val="0"/>
              <w:spacing w:line="360" w:lineRule="exact"/>
              <w:ind w:firstLine="387"/>
              <w:jc w:val="right"/>
              <w:rPr>
                <w:rFonts w:ascii="仿宋_GB2312" w:hAnsi="仿宋_GB2312" w:eastAsia="仿宋_GB2312" w:cs="Arial"/>
                <w:kern w:val="0"/>
                <w:sz w:val="21"/>
                <w:szCs w:val="21"/>
              </w:rPr>
            </w:pPr>
            <w:r>
              <w:rPr>
                <w:rFonts w:ascii="仿宋_GB2312" w:hAnsi="仿宋_GB2312" w:eastAsia="仿宋_GB2312" w:cs="Arial"/>
                <w:kern w:val="0"/>
                <w:sz w:val="21"/>
                <w:szCs w:val="21"/>
              </w:rPr>
              <w:t>2808　</w:t>
            </w:r>
          </w:p>
        </w:tc>
      </w:tr>
      <w:tr>
        <w:tblPrEx>
          <w:tblLayout w:type="fixed"/>
          <w:tblCellMar>
            <w:top w:w="0" w:type="dxa"/>
            <w:left w:w="57" w:type="dxa"/>
            <w:bottom w:w="0" w:type="dxa"/>
            <w:right w:w="57" w:type="dxa"/>
          </w:tblCellMar>
        </w:tblPrEx>
        <w:trPr>
          <w:trHeight w:val="450" w:hRule="atLeast"/>
        </w:trPr>
        <w:tc>
          <w:tcPr>
            <w:tcW w:w="1936"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p>
        </w:tc>
        <w:tc>
          <w:tcPr>
            <w:tcW w:w="4747" w:type="dxa"/>
            <w:gridSpan w:val="6"/>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一般公共预算财政拨款</w:t>
            </w:r>
          </w:p>
        </w:tc>
        <w:tc>
          <w:tcPr>
            <w:tcW w:w="2969" w:type="dxa"/>
            <w:gridSpan w:val="4"/>
            <w:tcBorders>
              <w:top w:val="single" w:color="000000" w:sz="4" w:space="0"/>
              <w:bottom w:val="single" w:color="000000" w:sz="4" w:space="0"/>
              <w:right w:val="single" w:color="000000" w:sz="4" w:space="0"/>
            </w:tcBorders>
            <w:vAlign w:val="center"/>
          </w:tcPr>
          <w:p>
            <w:pPr>
              <w:widowControl/>
              <w:snapToGrid w:val="0"/>
              <w:spacing w:line="360" w:lineRule="exact"/>
              <w:ind w:firstLine="387"/>
              <w:jc w:val="right"/>
              <w:rPr>
                <w:rFonts w:ascii="仿宋_GB2312" w:hAnsi="仿宋_GB2312" w:eastAsia="仿宋_GB2312" w:cs="Arial"/>
                <w:kern w:val="0"/>
                <w:sz w:val="21"/>
                <w:szCs w:val="21"/>
              </w:rPr>
            </w:pPr>
            <w:r>
              <w:rPr>
                <w:rFonts w:ascii="仿宋_GB2312" w:hAnsi="仿宋_GB2312" w:eastAsia="仿宋_GB2312" w:cs="Arial"/>
                <w:kern w:val="0"/>
                <w:sz w:val="21"/>
                <w:szCs w:val="21"/>
              </w:rPr>
              <w:t>　</w:t>
            </w:r>
          </w:p>
        </w:tc>
      </w:tr>
      <w:tr>
        <w:tblPrEx>
          <w:tblLayout w:type="fixed"/>
          <w:tblCellMar>
            <w:top w:w="0" w:type="dxa"/>
            <w:left w:w="57" w:type="dxa"/>
            <w:bottom w:w="0" w:type="dxa"/>
            <w:right w:w="57" w:type="dxa"/>
          </w:tblCellMar>
        </w:tblPrEx>
        <w:trPr>
          <w:trHeight w:val="450" w:hRule="atLeast"/>
        </w:trPr>
        <w:tc>
          <w:tcPr>
            <w:tcW w:w="1936"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p>
        </w:tc>
        <w:tc>
          <w:tcPr>
            <w:tcW w:w="4747" w:type="dxa"/>
            <w:gridSpan w:val="6"/>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仿宋_GB2312"/>
                <w:kern w:val="0"/>
                <w:sz w:val="21"/>
                <w:szCs w:val="21"/>
              </w:rPr>
              <w:t xml:space="preserve">  </w:t>
            </w:r>
            <w:r>
              <w:rPr>
                <w:rFonts w:ascii="仿宋_GB2312" w:hAnsi="仿宋_GB2312" w:eastAsia="仿宋_GB2312" w:cs="Arial"/>
                <w:kern w:val="0"/>
                <w:sz w:val="21"/>
                <w:szCs w:val="21"/>
              </w:rPr>
              <w:t>其中：申请当年预算拨款</w:t>
            </w:r>
          </w:p>
        </w:tc>
        <w:tc>
          <w:tcPr>
            <w:tcW w:w="2969" w:type="dxa"/>
            <w:gridSpan w:val="4"/>
            <w:tcBorders>
              <w:top w:val="single" w:color="000000" w:sz="4" w:space="0"/>
              <w:bottom w:val="single" w:color="000000" w:sz="4" w:space="0"/>
              <w:right w:val="single" w:color="000000" w:sz="4" w:space="0"/>
            </w:tcBorders>
            <w:vAlign w:val="center"/>
          </w:tcPr>
          <w:p>
            <w:pPr>
              <w:widowControl/>
              <w:snapToGrid w:val="0"/>
              <w:spacing w:line="360" w:lineRule="exact"/>
              <w:ind w:firstLine="387"/>
              <w:jc w:val="right"/>
              <w:rPr>
                <w:rFonts w:ascii="仿宋_GB2312" w:hAnsi="仿宋_GB2312" w:eastAsia="仿宋_GB2312" w:cs="Arial"/>
                <w:kern w:val="0"/>
                <w:sz w:val="21"/>
                <w:szCs w:val="21"/>
              </w:rPr>
            </w:pPr>
            <w:r>
              <w:rPr>
                <w:rFonts w:ascii="仿宋_GB2312" w:hAnsi="仿宋_GB2312" w:eastAsia="仿宋_GB2312" w:cs="Arial"/>
                <w:kern w:val="0"/>
                <w:sz w:val="21"/>
                <w:szCs w:val="21"/>
              </w:rPr>
              <w:t>　</w:t>
            </w:r>
          </w:p>
        </w:tc>
      </w:tr>
      <w:tr>
        <w:tblPrEx>
          <w:tblLayout w:type="fixed"/>
          <w:tblCellMar>
            <w:top w:w="0" w:type="dxa"/>
            <w:left w:w="57" w:type="dxa"/>
            <w:bottom w:w="0" w:type="dxa"/>
            <w:right w:w="57" w:type="dxa"/>
          </w:tblCellMar>
        </w:tblPrEx>
        <w:trPr>
          <w:trHeight w:val="450" w:hRule="atLeast"/>
        </w:trPr>
        <w:tc>
          <w:tcPr>
            <w:tcW w:w="1936"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p>
        </w:tc>
        <w:tc>
          <w:tcPr>
            <w:tcW w:w="4747" w:type="dxa"/>
            <w:gridSpan w:val="6"/>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政府性基金预算财政拨款</w:t>
            </w:r>
          </w:p>
        </w:tc>
        <w:tc>
          <w:tcPr>
            <w:tcW w:w="2969" w:type="dxa"/>
            <w:gridSpan w:val="4"/>
            <w:tcBorders>
              <w:top w:val="single" w:color="000000" w:sz="4" w:space="0"/>
              <w:bottom w:val="single" w:color="000000" w:sz="4" w:space="0"/>
              <w:right w:val="single" w:color="000000" w:sz="4" w:space="0"/>
            </w:tcBorders>
            <w:vAlign w:val="center"/>
          </w:tcPr>
          <w:p>
            <w:pPr>
              <w:widowControl/>
              <w:snapToGrid w:val="0"/>
              <w:spacing w:line="360" w:lineRule="exact"/>
              <w:ind w:firstLine="387"/>
              <w:jc w:val="right"/>
              <w:rPr>
                <w:rFonts w:ascii="仿宋_GB2312" w:hAnsi="仿宋_GB2312" w:eastAsia="仿宋_GB2312" w:cs="Arial"/>
                <w:kern w:val="0"/>
                <w:sz w:val="21"/>
                <w:szCs w:val="21"/>
              </w:rPr>
            </w:pPr>
            <w:r>
              <w:rPr>
                <w:rFonts w:ascii="仿宋_GB2312" w:hAnsi="仿宋_GB2312" w:eastAsia="仿宋_GB2312" w:cs="Arial"/>
                <w:kern w:val="0"/>
                <w:sz w:val="21"/>
                <w:szCs w:val="21"/>
              </w:rPr>
              <w:t>808　</w:t>
            </w:r>
          </w:p>
        </w:tc>
      </w:tr>
      <w:tr>
        <w:tblPrEx>
          <w:tblLayout w:type="fixed"/>
          <w:tblCellMar>
            <w:top w:w="0" w:type="dxa"/>
            <w:left w:w="57" w:type="dxa"/>
            <w:bottom w:w="0" w:type="dxa"/>
            <w:right w:w="57" w:type="dxa"/>
          </w:tblCellMar>
        </w:tblPrEx>
        <w:trPr>
          <w:trHeight w:val="411" w:hRule="atLeast"/>
        </w:trPr>
        <w:tc>
          <w:tcPr>
            <w:tcW w:w="1936"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p>
        </w:tc>
        <w:tc>
          <w:tcPr>
            <w:tcW w:w="4747" w:type="dxa"/>
            <w:gridSpan w:val="6"/>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财政专户管理资金</w:t>
            </w:r>
          </w:p>
        </w:tc>
        <w:tc>
          <w:tcPr>
            <w:tcW w:w="2969" w:type="dxa"/>
            <w:gridSpan w:val="4"/>
            <w:tcBorders>
              <w:top w:val="single" w:color="000000" w:sz="4" w:space="0"/>
              <w:bottom w:val="single" w:color="000000" w:sz="4" w:space="0"/>
              <w:right w:val="single" w:color="000000" w:sz="4" w:space="0"/>
            </w:tcBorders>
            <w:vAlign w:val="center"/>
          </w:tcPr>
          <w:p>
            <w:pPr>
              <w:widowControl/>
              <w:snapToGrid w:val="0"/>
              <w:spacing w:line="360" w:lineRule="exact"/>
              <w:ind w:firstLine="387"/>
              <w:jc w:val="right"/>
              <w:rPr>
                <w:rFonts w:ascii="仿宋_GB2312" w:hAnsi="仿宋_GB2312" w:eastAsia="仿宋_GB2312" w:cs="Arial"/>
                <w:kern w:val="0"/>
                <w:sz w:val="21"/>
                <w:szCs w:val="21"/>
              </w:rPr>
            </w:pPr>
            <w:r>
              <w:rPr>
                <w:rFonts w:ascii="仿宋_GB2312" w:hAnsi="仿宋_GB2312" w:eastAsia="仿宋_GB2312" w:cs="Arial"/>
                <w:kern w:val="0"/>
                <w:sz w:val="21"/>
                <w:szCs w:val="21"/>
              </w:rPr>
              <w:t>2000</w:t>
            </w:r>
          </w:p>
        </w:tc>
      </w:tr>
      <w:tr>
        <w:tblPrEx>
          <w:tblLayout w:type="fixed"/>
          <w:tblCellMar>
            <w:top w:w="0" w:type="dxa"/>
            <w:left w:w="57" w:type="dxa"/>
            <w:bottom w:w="0" w:type="dxa"/>
            <w:right w:w="57" w:type="dxa"/>
          </w:tblCellMar>
        </w:tblPrEx>
        <w:trPr>
          <w:trHeight w:val="450" w:hRule="atLeast"/>
        </w:trPr>
        <w:tc>
          <w:tcPr>
            <w:tcW w:w="1936"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p>
        </w:tc>
        <w:tc>
          <w:tcPr>
            <w:tcW w:w="4747" w:type="dxa"/>
            <w:gridSpan w:val="6"/>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单位资金</w:t>
            </w:r>
          </w:p>
        </w:tc>
        <w:tc>
          <w:tcPr>
            <w:tcW w:w="2969" w:type="dxa"/>
            <w:gridSpan w:val="4"/>
            <w:tcBorders>
              <w:top w:val="single" w:color="000000" w:sz="4" w:space="0"/>
              <w:bottom w:val="single" w:color="000000" w:sz="4" w:space="0"/>
              <w:right w:val="single" w:color="000000" w:sz="4" w:space="0"/>
            </w:tcBorders>
            <w:vAlign w:val="center"/>
          </w:tcPr>
          <w:p>
            <w:pPr>
              <w:widowControl/>
              <w:snapToGrid w:val="0"/>
              <w:spacing w:line="360" w:lineRule="exact"/>
              <w:ind w:firstLine="387"/>
              <w:jc w:val="right"/>
              <w:rPr>
                <w:rFonts w:ascii="仿宋_GB2312" w:hAnsi="仿宋_GB2312" w:eastAsia="仿宋_GB2312" w:cs="Arial"/>
                <w:kern w:val="0"/>
                <w:sz w:val="21"/>
                <w:szCs w:val="21"/>
              </w:rPr>
            </w:pPr>
            <w:r>
              <w:rPr>
                <w:rFonts w:ascii="仿宋_GB2312" w:hAnsi="仿宋_GB2312" w:eastAsia="仿宋_GB2312" w:cs="Arial"/>
                <w:kern w:val="0"/>
                <w:sz w:val="21"/>
                <w:szCs w:val="21"/>
              </w:rPr>
              <w:t>　</w:t>
            </w:r>
          </w:p>
        </w:tc>
      </w:tr>
      <w:tr>
        <w:tblPrEx>
          <w:tblLayout w:type="fixed"/>
          <w:tblCellMar>
            <w:top w:w="0" w:type="dxa"/>
            <w:left w:w="57" w:type="dxa"/>
            <w:bottom w:w="0" w:type="dxa"/>
            <w:right w:w="57" w:type="dxa"/>
          </w:tblCellMar>
        </w:tblPrEx>
        <w:trPr>
          <w:trHeight w:val="90" w:hRule="atLeast"/>
        </w:trPr>
        <w:tc>
          <w:tcPr>
            <w:tcW w:w="1936"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p>
        </w:tc>
        <w:tc>
          <w:tcPr>
            <w:tcW w:w="4747" w:type="dxa"/>
            <w:gridSpan w:val="6"/>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仿宋_GB2312"/>
                <w:kern w:val="0"/>
                <w:sz w:val="21"/>
                <w:szCs w:val="21"/>
              </w:rPr>
              <w:t xml:space="preserve">  </w:t>
            </w:r>
            <w:r>
              <w:rPr>
                <w:rFonts w:ascii="仿宋_GB2312" w:hAnsi="仿宋_GB2312" w:eastAsia="仿宋_GB2312" w:cs="Arial"/>
                <w:kern w:val="0"/>
                <w:sz w:val="21"/>
                <w:szCs w:val="21"/>
              </w:rPr>
              <w:t>其中：使用上年度财政拨款结转</w:t>
            </w:r>
          </w:p>
        </w:tc>
        <w:tc>
          <w:tcPr>
            <w:tcW w:w="2969" w:type="dxa"/>
            <w:gridSpan w:val="4"/>
            <w:tcBorders>
              <w:top w:val="single" w:color="000000" w:sz="4" w:space="0"/>
              <w:bottom w:val="single" w:color="000000" w:sz="4" w:space="0"/>
              <w:right w:val="single" w:color="000000" w:sz="4" w:space="0"/>
            </w:tcBorders>
            <w:vAlign w:val="center"/>
          </w:tcPr>
          <w:p>
            <w:pPr>
              <w:widowControl/>
              <w:snapToGrid w:val="0"/>
              <w:spacing w:line="360" w:lineRule="exact"/>
              <w:ind w:firstLine="387"/>
              <w:jc w:val="right"/>
              <w:rPr>
                <w:rFonts w:ascii="仿宋_GB2312" w:hAnsi="仿宋_GB2312" w:eastAsia="仿宋_GB2312" w:cs="Arial"/>
                <w:kern w:val="0"/>
                <w:sz w:val="21"/>
                <w:szCs w:val="21"/>
              </w:rPr>
            </w:pPr>
            <w:r>
              <w:rPr>
                <w:rFonts w:ascii="仿宋_GB2312" w:hAnsi="仿宋_GB2312" w:eastAsia="仿宋_GB2312" w:cs="Arial"/>
                <w:kern w:val="0"/>
                <w:sz w:val="21"/>
                <w:szCs w:val="21"/>
              </w:rPr>
              <w:t>　</w:t>
            </w:r>
          </w:p>
        </w:tc>
      </w:tr>
      <w:tr>
        <w:tblPrEx>
          <w:tblLayout w:type="fixed"/>
          <w:tblCellMar>
            <w:top w:w="0" w:type="dxa"/>
            <w:left w:w="57" w:type="dxa"/>
            <w:bottom w:w="0" w:type="dxa"/>
            <w:right w:w="57" w:type="dxa"/>
          </w:tblCellMar>
        </w:tblPrEx>
        <w:trPr>
          <w:trHeight w:val="450" w:hRule="atLeast"/>
        </w:trPr>
        <w:tc>
          <w:tcPr>
            <w:tcW w:w="9652" w:type="dxa"/>
            <w:gridSpan w:val="1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389"/>
              <w:jc w:val="center"/>
              <w:rPr>
                <w:rFonts w:ascii="仿宋_GB2312" w:hAnsi="仿宋_GB2312" w:eastAsia="仿宋_GB2312" w:cs="Arial"/>
                <w:b/>
                <w:bCs/>
                <w:kern w:val="0"/>
                <w:sz w:val="21"/>
                <w:szCs w:val="21"/>
              </w:rPr>
            </w:pPr>
          </w:p>
          <w:p>
            <w:pPr>
              <w:widowControl/>
              <w:snapToGrid w:val="0"/>
              <w:spacing w:line="360" w:lineRule="exact"/>
              <w:ind w:firstLine="389"/>
              <w:jc w:val="center"/>
              <w:rPr>
                <w:rFonts w:ascii="仿宋_GB2312" w:hAnsi="仿宋_GB2312" w:eastAsia="仿宋_GB2312" w:cs="Arial"/>
                <w:b/>
                <w:bCs/>
                <w:kern w:val="0"/>
                <w:sz w:val="21"/>
                <w:szCs w:val="21"/>
              </w:rPr>
            </w:pPr>
            <w:r>
              <w:rPr>
                <w:rFonts w:ascii="仿宋_GB2312" w:hAnsi="仿宋_GB2312" w:eastAsia="仿宋_GB2312" w:cs="Arial"/>
                <w:b/>
                <w:bCs/>
                <w:kern w:val="0"/>
                <w:sz w:val="21"/>
                <w:szCs w:val="21"/>
              </w:rPr>
              <w:t>项目支出明细测算</w:t>
            </w:r>
          </w:p>
        </w:tc>
      </w:tr>
      <w:tr>
        <w:tblPrEx>
          <w:tblLayout w:type="fixed"/>
          <w:tblCellMar>
            <w:top w:w="0" w:type="dxa"/>
            <w:left w:w="57" w:type="dxa"/>
            <w:bottom w:w="0" w:type="dxa"/>
            <w:right w:w="57" w:type="dxa"/>
          </w:tblCellMar>
        </w:tblPrEx>
        <w:trPr>
          <w:trHeight w:val="660" w:hRule="atLeast"/>
        </w:trPr>
        <w:tc>
          <w:tcPr>
            <w:tcW w:w="79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0"/>
              <w:rPr>
                <w:rFonts w:ascii="仿宋_GB2312" w:hAnsi="仿宋_GB2312" w:eastAsia="仿宋_GB2312" w:cs="Arial"/>
                <w:kern w:val="0"/>
                <w:sz w:val="21"/>
                <w:szCs w:val="21"/>
              </w:rPr>
            </w:pPr>
            <w:r>
              <w:rPr>
                <w:rFonts w:ascii="仿宋_GB2312" w:hAnsi="仿宋_GB2312" w:eastAsia="仿宋_GB2312" w:cs="Arial"/>
                <w:kern w:val="0"/>
                <w:sz w:val="21"/>
                <w:szCs w:val="21"/>
              </w:rPr>
              <w:t>项目活动</w:t>
            </w:r>
          </w:p>
        </w:tc>
        <w:tc>
          <w:tcPr>
            <w:tcW w:w="1137" w:type="dxa"/>
            <w:tcBorders>
              <w:top w:val="single" w:color="000000" w:sz="4" w:space="0"/>
              <w:bottom w:val="single" w:color="000000" w:sz="4" w:space="0"/>
              <w:right w:val="single" w:color="000000" w:sz="4" w:space="0"/>
            </w:tcBorders>
            <w:vAlign w:val="center"/>
          </w:tcPr>
          <w:p>
            <w:pPr>
              <w:widowControl/>
              <w:snapToGrid w:val="0"/>
              <w:spacing w:line="360" w:lineRule="exact"/>
              <w:ind w:firstLine="0"/>
              <w:rPr>
                <w:rFonts w:ascii="仿宋_GB2312" w:hAnsi="仿宋_GB2312" w:eastAsia="仿宋_GB2312" w:cs="Arial"/>
                <w:kern w:val="0"/>
                <w:sz w:val="21"/>
                <w:szCs w:val="21"/>
              </w:rPr>
            </w:pPr>
            <w:r>
              <w:rPr>
                <w:rFonts w:ascii="仿宋_GB2312" w:hAnsi="仿宋_GB2312" w:eastAsia="仿宋_GB2312" w:cs="Arial"/>
                <w:kern w:val="0"/>
                <w:sz w:val="21"/>
                <w:szCs w:val="21"/>
              </w:rPr>
              <w:t>活动内容表述</w:t>
            </w:r>
          </w:p>
        </w:tc>
        <w:tc>
          <w:tcPr>
            <w:tcW w:w="1387" w:type="dxa"/>
            <w:tcBorders>
              <w:top w:val="single" w:color="000000" w:sz="4" w:space="0"/>
              <w:bottom w:val="single" w:color="000000" w:sz="4" w:space="0"/>
              <w:right w:val="single" w:color="000000" w:sz="4" w:space="0"/>
            </w:tcBorders>
            <w:vAlign w:val="center"/>
          </w:tcPr>
          <w:p>
            <w:pPr>
              <w:widowControl/>
              <w:snapToGrid w:val="0"/>
              <w:spacing w:line="360" w:lineRule="exact"/>
              <w:ind w:firstLine="0"/>
              <w:rPr>
                <w:rFonts w:ascii="仿宋_GB2312" w:hAnsi="仿宋_GB2312" w:eastAsia="仿宋_GB2312" w:cs="Arial"/>
                <w:kern w:val="0"/>
                <w:sz w:val="21"/>
                <w:szCs w:val="21"/>
              </w:rPr>
            </w:pPr>
            <w:r>
              <w:rPr>
                <w:rFonts w:ascii="仿宋_GB2312" w:hAnsi="仿宋_GB2312" w:eastAsia="仿宋_GB2312" w:cs="Arial"/>
                <w:kern w:val="0"/>
                <w:sz w:val="21"/>
                <w:szCs w:val="21"/>
              </w:rPr>
              <w:t>支出经济分类</w:t>
            </w:r>
          </w:p>
        </w:tc>
        <w:tc>
          <w:tcPr>
            <w:tcW w:w="2309" w:type="dxa"/>
            <w:gridSpan w:val="2"/>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金额</w:t>
            </w:r>
          </w:p>
        </w:tc>
        <w:tc>
          <w:tcPr>
            <w:tcW w:w="2197" w:type="dxa"/>
            <w:gridSpan w:val="5"/>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测算依据及说明</w:t>
            </w:r>
          </w:p>
        </w:tc>
        <w:tc>
          <w:tcPr>
            <w:tcW w:w="1823" w:type="dxa"/>
            <w:gridSpan w:val="2"/>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备注</w:t>
            </w:r>
          </w:p>
        </w:tc>
      </w:tr>
      <w:tr>
        <w:tblPrEx>
          <w:tblLayout w:type="fixed"/>
          <w:tblCellMar>
            <w:top w:w="0" w:type="dxa"/>
            <w:left w:w="57" w:type="dxa"/>
            <w:bottom w:w="0" w:type="dxa"/>
            <w:right w:w="57" w:type="dxa"/>
          </w:tblCellMar>
        </w:tblPrEx>
        <w:trPr>
          <w:trHeight w:val="450" w:hRule="atLeast"/>
        </w:trPr>
        <w:tc>
          <w:tcPr>
            <w:tcW w:w="79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1</w:t>
            </w:r>
          </w:p>
        </w:tc>
        <w:tc>
          <w:tcPr>
            <w:tcW w:w="1137" w:type="dxa"/>
            <w:tcBorders>
              <w:top w:val="single" w:color="000000" w:sz="4" w:space="0"/>
              <w:bottom w:val="single" w:color="000000" w:sz="4" w:space="0"/>
              <w:right w:val="single" w:color="000000" w:sz="4" w:space="0"/>
            </w:tcBorders>
            <w:vAlign w:val="center"/>
          </w:tcPr>
          <w:p>
            <w:pPr>
              <w:widowControl/>
              <w:snapToGrid w:val="0"/>
              <w:spacing w:line="360" w:lineRule="exact"/>
              <w:ind w:firstLine="0"/>
              <w:jc w:val="left"/>
              <w:rPr>
                <w:rFonts w:ascii="仿宋_GB2312" w:hAnsi="仿宋_GB2312" w:eastAsia="仿宋_GB2312" w:cs="Arial"/>
                <w:kern w:val="0"/>
                <w:sz w:val="21"/>
                <w:szCs w:val="21"/>
              </w:rPr>
            </w:pPr>
            <w:r>
              <w:rPr>
                <w:rFonts w:ascii="仿宋_GB2312" w:hAnsi="仿宋_GB2312" w:eastAsia="仿宋_GB2312" w:cs="Arial"/>
                <w:kern w:val="0"/>
                <w:sz w:val="21"/>
                <w:szCs w:val="21"/>
              </w:rPr>
              <w:t>建设单位管理费、勘察设计费、可行性研究费、场地准备及临时设施费、造价咨询服务费、高可靠性供电费用工程保险费、</w:t>
            </w:r>
            <w:r>
              <w:rPr>
                <w:rFonts w:hint="eastAsia" w:ascii="仿宋_GB2312" w:hAnsi="仿宋_GB2312" w:eastAsia="仿宋_GB2312" w:cs="Arial"/>
                <w:kern w:val="0"/>
                <w:sz w:val="21"/>
                <w:szCs w:val="21"/>
                <w:lang w:val="en-US" w:eastAsia="zh-CN"/>
              </w:rPr>
              <w:t>施工</w:t>
            </w:r>
            <w:r>
              <w:rPr>
                <w:rFonts w:ascii="仿宋_GB2312" w:hAnsi="仿宋_GB2312" w:eastAsia="仿宋_GB2312" w:cs="Arial"/>
                <w:kern w:val="0"/>
                <w:sz w:val="21"/>
                <w:szCs w:val="21"/>
              </w:rPr>
              <w:t>图审查费、土地平整、拆迁、青苗补偿等</w:t>
            </w:r>
          </w:p>
        </w:tc>
        <w:tc>
          <w:tcPr>
            <w:tcW w:w="1387" w:type="dxa"/>
            <w:tcBorders>
              <w:top w:val="single" w:color="000000" w:sz="4" w:space="0"/>
              <w:bottom w:val="single" w:color="000000" w:sz="4" w:space="0"/>
              <w:right w:val="single" w:color="000000" w:sz="4" w:space="0"/>
            </w:tcBorders>
            <w:vAlign w:val="center"/>
          </w:tcPr>
          <w:p>
            <w:pPr>
              <w:widowControl/>
              <w:snapToGrid w:val="0"/>
              <w:spacing w:line="360" w:lineRule="exact"/>
              <w:ind w:firstLine="0"/>
              <w:jc w:val="left"/>
              <w:rPr>
                <w:rFonts w:ascii="仿宋_GB2312" w:hAnsi="仿宋_GB2312" w:eastAsia="仿宋_GB2312" w:cs="Arial"/>
                <w:kern w:val="0"/>
                <w:sz w:val="21"/>
                <w:szCs w:val="21"/>
              </w:rPr>
            </w:pPr>
            <w:r>
              <w:rPr>
                <w:rFonts w:ascii="仿宋_GB2312" w:hAnsi="仿宋_GB2312" w:eastAsia="仿宋_GB2312" w:cs="Arial"/>
                <w:kern w:val="0"/>
                <w:sz w:val="21"/>
                <w:szCs w:val="21"/>
              </w:rPr>
              <w:t>　50399-其他资本性支出</w:t>
            </w:r>
          </w:p>
        </w:tc>
        <w:tc>
          <w:tcPr>
            <w:tcW w:w="2309" w:type="dxa"/>
            <w:gridSpan w:val="2"/>
            <w:tcBorders>
              <w:top w:val="single" w:color="000000" w:sz="4" w:space="0"/>
              <w:bottom w:val="single" w:color="000000" w:sz="4" w:space="0"/>
              <w:right w:val="single" w:color="000000" w:sz="4" w:space="0"/>
            </w:tcBorders>
            <w:vAlign w:val="center"/>
          </w:tcPr>
          <w:p>
            <w:pPr>
              <w:widowControl/>
              <w:snapToGrid w:val="0"/>
              <w:spacing w:line="360" w:lineRule="exact"/>
              <w:ind w:firstLine="387"/>
              <w:jc w:val="right"/>
              <w:rPr>
                <w:rFonts w:ascii="仿宋_GB2312" w:hAnsi="仿宋_GB2312" w:eastAsia="仿宋_GB2312" w:cs="Arial"/>
                <w:kern w:val="0"/>
                <w:sz w:val="21"/>
                <w:szCs w:val="21"/>
              </w:rPr>
            </w:pPr>
            <w:r>
              <w:rPr>
                <w:rFonts w:ascii="仿宋_GB2312" w:hAnsi="仿宋_GB2312" w:eastAsia="仿宋_GB2312" w:cs="Arial"/>
                <w:kern w:val="0"/>
                <w:sz w:val="21"/>
                <w:szCs w:val="21"/>
              </w:rPr>
              <w:t>808　</w:t>
            </w:r>
          </w:p>
        </w:tc>
        <w:tc>
          <w:tcPr>
            <w:tcW w:w="2197" w:type="dxa"/>
            <w:gridSpan w:val="5"/>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w:t>
            </w:r>
          </w:p>
        </w:tc>
        <w:tc>
          <w:tcPr>
            <w:tcW w:w="1823" w:type="dxa"/>
            <w:gridSpan w:val="2"/>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w:t>
            </w:r>
          </w:p>
        </w:tc>
      </w:tr>
      <w:tr>
        <w:tblPrEx>
          <w:tblLayout w:type="fixed"/>
          <w:tblCellMar>
            <w:top w:w="0" w:type="dxa"/>
            <w:left w:w="57" w:type="dxa"/>
            <w:bottom w:w="0" w:type="dxa"/>
            <w:right w:w="57" w:type="dxa"/>
          </w:tblCellMar>
        </w:tblPrEx>
        <w:trPr>
          <w:trHeight w:val="397" w:hRule="atLeast"/>
        </w:trPr>
        <w:tc>
          <w:tcPr>
            <w:tcW w:w="79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2</w:t>
            </w:r>
          </w:p>
        </w:tc>
        <w:tc>
          <w:tcPr>
            <w:tcW w:w="1137" w:type="dxa"/>
            <w:tcBorders>
              <w:top w:val="single" w:color="000000" w:sz="4" w:space="0"/>
              <w:bottom w:val="single" w:color="000000" w:sz="4" w:space="0"/>
              <w:right w:val="single" w:color="000000" w:sz="4" w:space="0"/>
            </w:tcBorders>
            <w:vAlign w:val="center"/>
          </w:tcPr>
          <w:p>
            <w:pPr>
              <w:widowControl/>
              <w:snapToGrid w:val="0"/>
              <w:spacing w:line="360" w:lineRule="exact"/>
              <w:ind w:firstLine="0"/>
              <w:jc w:val="left"/>
              <w:rPr>
                <w:rFonts w:ascii="仿宋_GB2312" w:hAnsi="仿宋_GB2312" w:eastAsia="仿宋_GB2312" w:cs="Arial"/>
                <w:kern w:val="0"/>
                <w:sz w:val="21"/>
                <w:szCs w:val="21"/>
              </w:rPr>
            </w:pPr>
            <w:r>
              <w:rPr>
                <w:rFonts w:ascii="仿宋_GB2312" w:hAnsi="仿宋_GB2312" w:eastAsia="仿宋_GB2312" w:cs="Arial"/>
                <w:kern w:val="0"/>
                <w:sz w:val="21"/>
                <w:szCs w:val="21"/>
              </w:rPr>
              <w:t>工程建筑费</w:t>
            </w:r>
          </w:p>
        </w:tc>
        <w:tc>
          <w:tcPr>
            <w:tcW w:w="1387" w:type="dxa"/>
            <w:tcBorders>
              <w:top w:val="single" w:color="000000" w:sz="4" w:space="0"/>
              <w:bottom w:val="single" w:color="000000" w:sz="4" w:space="0"/>
              <w:right w:val="single" w:color="000000" w:sz="4" w:space="0"/>
            </w:tcBorders>
            <w:vAlign w:val="center"/>
          </w:tcPr>
          <w:p>
            <w:pPr>
              <w:widowControl/>
              <w:snapToGrid w:val="0"/>
              <w:spacing w:line="360" w:lineRule="exact"/>
              <w:ind w:firstLine="0"/>
              <w:jc w:val="left"/>
              <w:rPr>
                <w:rFonts w:ascii="仿宋_GB2312" w:hAnsi="仿宋_GB2312" w:eastAsia="仿宋_GB2312" w:cs="Arial"/>
                <w:kern w:val="0"/>
                <w:sz w:val="21"/>
                <w:szCs w:val="21"/>
              </w:rPr>
            </w:pPr>
            <w:r>
              <w:rPr>
                <w:rFonts w:ascii="仿宋_GB2312" w:hAnsi="仿宋_GB2312" w:eastAsia="仿宋_GB2312" w:cs="Arial"/>
                <w:kern w:val="0"/>
                <w:sz w:val="21"/>
                <w:szCs w:val="21"/>
              </w:rPr>
              <w:t>　50301-房屋建筑物及装修工程</w:t>
            </w:r>
          </w:p>
        </w:tc>
        <w:tc>
          <w:tcPr>
            <w:tcW w:w="2309" w:type="dxa"/>
            <w:gridSpan w:val="2"/>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1900　</w:t>
            </w:r>
          </w:p>
        </w:tc>
        <w:tc>
          <w:tcPr>
            <w:tcW w:w="2197" w:type="dxa"/>
            <w:gridSpan w:val="5"/>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救援中心（1630万元）、辅助房（20万元）、消防水池（95万元）、配电房（155万元）</w:t>
            </w:r>
          </w:p>
        </w:tc>
        <w:tc>
          <w:tcPr>
            <w:tcW w:w="1823" w:type="dxa"/>
            <w:gridSpan w:val="2"/>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w:t>
            </w:r>
          </w:p>
        </w:tc>
      </w:tr>
      <w:tr>
        <w:tblPrEx>
          <w:tblLayout w:type="fixed"/>
          <w:tblCellMar>
            <w:top w:w="0" w:type="dxa"/>
            <w:left w:w="57" w:type="dxa"/>
            <w:bottom w:w="0" w:type="dxa"/>
            <w:right w:w="57" w:type="dxa"/>
          </w:tblCellMar>
        </w:tblPrEx>
        <w:trPr>
          <w:trHeight w:val="397" w:hRule="atLeast"/>
        </w:trPr>
        <w:tc>
          <w:tcPr>
            <w:tcW w:w="79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3</w:t>
            </w:r>
          </w:p>
        </w:tc>
        <w:tc>
          <w:tcPr>
            <w:tcW w:w="1137" w:type="dxa"/>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道路及停车场、绿化、电缆沟</w:t>
            </w:r>
          </w:p>
        </w:tc>
        <w:tc>
          <w:tcPr>
            <w:tcW w:w="1387" w:type="dxa"/>
            <w:tcBorders>
              <w:top w:val="single" w:color="000000" w:sz="4" w:space="0"/>
              <w:bottom w:val="single" w:color="000000" w:sz="4" w:space="0"/>
              <w:right w:val="single" w:color="000000" w:sz="4" w:space="0"/>
            </w:tcBorders>
            <w:vAlign w:val="center"/>
          </w:tcPr>
          <w:p>
            <w:pPr>
              <w:widowControl/>
              <w:snapToGrid w:val="0"/>
              <w:spacing w:line="360" w:lineRule="exact"/>
              <w:ind w:firstLine="0"/>
              <w:jc w:val="left"/>
              <w:rPr>
                <w:rFonts w:ascii="仿宋_GB2312" w:hAnsi="仿宋_GB2312" w:eastAsia="仿宋_GB2312" w:cs="Arial"/>
                <w:kern w:val="0"/>
                <w:sz w:val="21"/>
                <w:szCs w:val="21"/>
              </w:rPr>
            </w:pPr>
            <w:r>
              <w:rPr>
                <w:rFonts w:ascii="仿宋_GB2312" w:hAnsi="仿宋_GB2312" w:eastAsia="仿宋_GB2312" w:cs="Arial"/>
                <w:kern w:val="0"/>
                <w:sz w:val="21"/>
                <w:szCs w:val="21"/>
              </w:rPr>
              <w:t>　50302-基础设施建设</w:t>
            </w:r>
          </w:p>
        </w:tc>
        <w:tc>
          <w:tcPr>
            <w:tcW w:w="2309" w:type="dxa"/>
            <w:gridSpan w:val="2"/>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100　</w:t>
            </w:r>
          </w:p>
        </w:tc>
        <w:tc>
          <w:tcPr>
            <w:tcW w:w="2197" w:type="dxa"/>
            <w:gridSpan w:val="5"/>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室外绿化（100万元）</w:t>
            </w:r>
          </w:p>
        </w:tc>
        <w:tc>
          <w:tcPr>
            <w:tcW w:w="1823" w:type="dxa"/>
            <w:gridSpan w:val="2"/>
            <w:tcBorders>
              <w:top w:val="single" w:color="000000" w:sz="4" w:space="0"/>
              <w:bottom w:val="single" w:color="000000" w:sz="4" w:space="0"/>
              <w:right w:val="single" w:color="000000" w:sz="4" w:space="0"/>
            </w:tcBorders>
            <w:vAlign w:val="center"/>
          </w:tcPr>
          <w:p>
            <w:pPr>
              <w:widowControl/>
              <w:snapToGrid w:val="0"/>
              <w:spacing w:line="360" w:lineRule="exact"/>
              <w:ind w:firstLine="387"/>
              <w:jc w:val="left"/>
              <w:rPr>
                <w:rFonts w:ascii="仿宋_GB2312" w:hAnsi="仿宋_GB2312" w:eastAsia="仿宋_GB2312" w:cs="Arial"/>
                <w:kern w:val="0"/>
                <w:sz w:val="21"/>
                <w:szCs w:val="21"/>
              </w:rPr>
            </w:pPr>
            <w:r>
              <w:rPr>
                <w:rFonts w:ascii="仿宋_GB2312" w:hAnsi="仿宋_GB2312" w:eastAsia="仿宋_GB2312" w:cs="Arial"/>
                <w:kern w:val="0"/>
                <w:sz w:val="21"/>
                <w:szCs w:val="21"/>
              </w:rPr>
              <w:t>　</w:t>
            </w:r>
          </w:p>
        </w:tc>
      </w:tr>
      <w:tr>
        <w:tblPrEx>
          <w:tblLayout w:type="fixed"/>
          <w:tblCellMar>
            <w:top w:w="0" w:type="dxa"/>
            <w:left w:w="57" w:type="dxa"/>
            <w:bottom w:w="0" w:type="dxa"/>
            <w:right w:w="57" w:type="dxa"/>
          </w:tblCellMar>
        </w:tblPrEx>
        <w:trPr>
          <w:trHeight w:val="397" w:hRule="atLeast"/>
        </w:trPr>
        <w:tc>
          <w:tcPr>
            <w:tcW w:w="9652" w:type="dxa"/>
            <w:gridSpan w:val="1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389"/>
              <w:jc w:val="center"/>
              <w:rPr>
                <w:rFonts w:ascii="仿宋_GB2312" w:hAnsi="仿宋_GB2312" w:eastAsia="仿宋_GB2312" w:cs="Arial"/>
                <w:b/>
                <w:bCs/>
                <w:kern w:val="0"/>
                <w:sz w:val="21"/>
                <w:szCs w:val="21"/>
              </w:rPr>
            </w:pPr>
            <w:r>
              <w:rPr>
                <w:rFonts w:ascii="仿宋_GB2312" w:hAnsi="仿宋_GB2312" w:eastAsia="仿宋_GB2312" w:cs="Arial"/>
                <w:b/>
                <w:bCs/>
                <w:kern w:val="0"/>
                <w:sz w:val="21"/>
                <w:szCs w:val="21"/>
              </w:rPr>
              <w:t>项目绩效总目标</w:t>
            </w:r>
          </w:p>
        </w:tc>
      </w:tr>
      <w:tr>
        <w:tblPrEx>
          <w:tblLayout w:type="fixed"/>
          <w:tblCellMar>
            <w:top w:w="0" w:type="dxa"/>
            <w:left w:w="57" w:type="dxa"/>
            <w:bottom w:w="0" w:type="dxa"/>
            <w:right w:w="57" w:type="dxa"/>
          </w:tblCellMar>
        </w:tblPrEx>
        <w:trPr>
          <w:trHeight w:val="397"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名称</w:t>
            </w:r>
          </w:p>
        </w:tc>
        <w:tc>
          <w:tcPr>
            <w:tcW w:w="7716" w:type="dxa"/>
            <w:gridSpan w:val="10"/>
            <w:tcBorders>
              <w:top w:val="single" w:color="000000" w:sz="4" w:space="0"/>
              <w:bottom w:val="single" w:color="000000" w:sz="4" w:space="0"/>
              <w:right w:val="single" w:color="000000" w:sz="4" w:space="0"/>
            </w:tcBorders>
            <w:vAlign w:val="center"/>
          </w:tcPr>
          <w:p>
            <w:pPr>
              <w:widowControl/>
              <w:snapToGrid w:val="0"/>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Arial"/>
                <w:kern w:val="0"/>
                <w:sz w:val="21"/>
                <w:szCs w:val="21"/>
              </w:rPr>
              <w:t>目标说明</w:t>
            </w:r>
          </w:p>
        </w:tc>
      </w:tr>
      <w:tr>
        <w:tblPrEx>
          <w:tblLayout w:type="fixed"/>
          <w:tblCellMar>
            <w:top w:w="0" w:type="dxa"/>
            <w:left w:w="57" w:type="dxa"/>
            <w:bottom w:w="0" w:type="dxa"/>
            <w:right w:w="57" w:type="dxa"/>
          </w:tblCellMar>
        </w:tblPrEx>
        <w:trPr>
          <w:trHeight w:val="1591"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仿宋_GB2312"/>
                <w:kern w:val="0"/>
                <w:sz w:val="21"/>
                <w:szCs w:val="21"/>
              </w:rPr>
              <w:t>长期绩效目标1</w:t>
            </w:r>
          </w:p>
        </w:tc>
        <w:tc>
          <w:tcPr>
            <w:tcW w:w="7716" w:type="dxa"/>
            <w:gridSpan w:val="10"/>
            <w:tcBorders>
              <w:top w:val="single" w:color="000000" w:sz="4" w:space="0"/>
              <w:bottom w:val="single" w:color="000000" w:sz="4" w:space="0"/>
              <w:right w:val="single" w:color="000000" w:sz="4" w:space="0"/>
            </w:tcBorders>
            <w:vAlign w:val="center"/>
          </w:tcPr>
          <w:p>
            <w:pPr>
              <w:pStyle w:val="59"/>
              <w:widowControl/>
              <w:spacing w:before="280" w:after="280" w:line="360" w:lineRule="exact"/>
              <w:ind w:left="0" w:right="0" w:firstLine="387"/>
              <w:jc w:val="both"/>
              <w:rPr>
                <w:rFonts w:ascii="仿宋_GB2312" w:hAnsi="仿宋_GB2312" w:eastAsia="仿宋_GB2312" w:cs="Arial"/>
                <w:sz w:val="21"/>
                <w:szCs w:val="21"/>
              </w:rPr>
            </w:pPr>
            <w:r>
              <w:rPr>
                <w:rFonts w:ascii="仿宋" w:hAnsi="仿宋" w:cs="宋体"/>
                <w:sz w:val="21"/>
                <w:szCs w:val="21"/>
              </w:rPr>
              <w:t>新建综合应急救援中心、配套其他用房以及新建直升机停机坪，构建应急救援装备及配套供配电、给排水等公用工程。实现应急救援的整合，使安全保障更加有力，推动应急救援专业化提升，补齐应急救援短板，保障人民群众生命财产安全。</w:t>
            </w:r>
          </w:p>
        </w:tc>
      </w:tr>
      <w:tr>
        <w:tblPrEx>
          <w:tblLayout w:type="fixed"/>
          <w:tblCellMar>
            <w:top w:w="0" w:type="dxa"/>
            <w:left w:w="57" w:type="dxa"/>
            <w:bottom w:w="0" w:type="dxa"/>
            <w:right w:w="57" w:type="dxa"/>
          </w:tblCellMar>
        </w:tblPrEx>
        <w:trPr>
          <w:trHeight w:val="1245" w:hRule="atLeast"/>
        </w:trPr>
        <w:tc>
          <w:tcPr>
            <w:tcW w:w="193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exact"/>
              <w:ind w:firstLine="387"/>
              <w:jc w:val="center"/>
              <w:rPr>
                <w:rFonts w:ascii="仿宋_GB2312" w:hAnsi="仿宋_GB2312" w:eastAsia="仿宋_GB2312" w:cs="Arial"/>
                <w:kern w:val="0"/>
                <w:sz w:val="21"/>
                <w:szCs w:val="21"/>
              </w:rPr>
            </w:pPr>
            <w:r>
              <w:rPr>
                <w:rFonts w:ascii="仿宋_GB2312" w:hAnsi="仿宋_GB2312" w:eastAsia="仿宋_GB2312" w:cs="仿宋_GB2312"/>
                <w:kern w:val="0"/>
                <w:sz w:val="21"/>
                <w:szCs w:val="21"/>
              </w:rPr>
              <w:t>年度绩效目标1</w:t>
            </w:r>
          </w:p>
        </w:tc>
        <w:tc>
          <w:tcPr>
            <w:tcW w:w="7716" w:type="dxa"/>
            <w:gridSpan w:val="10"/>
            <w:tcBorders>
              <w:top w:val="single" w:color="000000" w:sz="4" w:space="0"/>
              <w:bottom w:val="single" w:color="000000" w:sz="4" w:space="0"/>
              <w:right w:val="single" w:color="000000" w:sz="4" w:space="0"/>
            </w:tcBorders>
            <w:vAlign w:val="center"/>
          </w:tcPr>
          <w:p>
            <w:pPr>
              <w:pStyle w:val="59"/>
              <w:widowControl/>
              <w:spacing w:before="280" w:after="280" w:line="360" w:lineRule="exact"/>
              <w:ind w:left="0" w:right="0" w:firstLine="387"/>
              <w:jc w:val="both"/>
              <w:rPr>
                <w:rFonts w:ascii="仿宋_GB2312" w:hAnsi="仿宋_GB2312" w:eastAsia="仿宋_GB2312" w:cs="Arial"/>
                <w:sz w:val="21"/>
                <w:szCs w:val="21"/>
              </w:rPr>
            </w:pPr>
            <w:r>
              <w:rPr>
                <w:rFonts w:ascii="仿宋" w:hAnsi="仿宋" w:cs="宋体"/>
                <w:sz w:val="21"/>
                <w:szCs w:val="21"/>
              </w:rPr>
              <w:t>按照计划完成项目勘察设计、可行性研究、初步设计、场地准备及临时设施、造价咨询、施工图审查、土地平整、拆迁、青苗补偿、招投标等前期工作，预计使用建筑工程费2000万元。其中：救援中心工程费用1630万元;辅助</w:t>
            </w:r>
            <w:r>
              <w:rPr>
                <w:rFonts w:hint="eastAsia" w:ascii="仿宋" w:hAnsi="仿宋" w:cs="宋体"/>
                <w:sz w:val="21"/>
                <w:szCs w:val="21"/>
                <w:lang w:val="en-US" w:eastAsia="zh-CN"/>
              </w:rPr>
              <w:t>用</w:t>
            </w:r>
            <w:r>
              <w:rPr>
                <w:rFonts w:ascii="仿宋" w:hAnsi="仿宋" w:cs="宋体"/>
                <w:sz w:val="21"/>
                <w:szCs w:val="21"/>
              </w:rPr>
              <w:t>房20万元、消防水池工程费用95万元;供配电工程费用155万元;绿化费用100万元。</w:t>
            </w:r>
          </w:p>
        </w:tc>
      </w:tr>
      <w:tr>
        <w:tblPrEx>
          <w:tblLayout w:type="fixed"/>
          <w:tblCellMar>
            <w:top w:w="0" w:type="dxa"/>
            <w:left w:w="57" w:type="dxa"/>
            <w:bottom w:w="0" w:type="dxa"/>
            <w:right w:w="57" w:type="dxa"/>
          </w:tblCellMar>
        </w:tblPrEx>
        <w:trPr>
          <w:trHeight w:val="425" w:hRule="atLeast"/>
        </w:trPr>
        <w:tc>
          <w:tcPr>
            <w:tcW w:w="9652" w:type="dxa"/>
            <w:gridSpan w:val="1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389"/>
              <w:jc w:val="center"/>
              <w:rPr>
                <w:rFonts w:ascii="仿宋_GB2312" w:hAnsi="仿宋_GB2312" w:eastAsia="仿宋_GB2312" w:cs="宋体"/>
                <w:b/>
                <w:bCs/>
                <w:kern w:val="0"/>
                <w:sz w:val="21"/>
                <w:szCs w:val="21"/>
              </w:rPr>
            </w:pPr>
            <w:r>
              <w:rPr>
                <w:rFonts w:ascii="仿宋_GB2312" w:hAnsi="仿宋_GB2312" w:eastAsia="仿宋_GB2312" w:cs="仿宋_GB2312"/>
                <w:b/>
                <w:bCs/>
                <w:kern w:val="0"/>
                <w:sz w:val="21"/>
                <w:szCs w:val="21"/>
              </w:rPr>
              <w:t>长期绩效目标表</w:t>
            </w:r>
          </w:p>
        </w:tc>
      </w:tr>
      <w:tr>
        <w:tblPrEx>
          <w:tblLayout w:type="fixed"/>
          <w:tblCellMar>
            <w:top w:w="0" w:type="dxa"/>
            <w:left w:w="57" w:type="dxa"/>
            <w:bottom w:w="0" w:type="dxa"/>
            <w:right w:w="57" w:type="dxa"/>
          </w:tblCellMar>
        </w:tblPrEx>
        <w:trPr>
          <w:trHeight w:val="425" w:hRule="atLeast"/>
        </w:trPr>
        <w:tc>
          <w:tcPr>
            <w:tcW w:w="79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目标名称</w:t>
            </w:r>
          </w:p>
        </w:tc>
        <w:tc>
          <w:tcPr>
            <w:tcW w:w="113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一级指标</w:t>
            </w: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二级指标</w:t>
            </w:r>
          </w:p>
        </w:tc>
        <w:tc>
          <w:tcPr>
            <w:tcW w:w="2309"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三级指标</w:t>
            </w:r>
          </w:p>
        </w:tc>
        <w:tc>
          <w:tcPr>
            <w:tcW w:w="156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指标值</w:t>
            </w:r>
          </w:p>
        </w:tc>
        <w:tc>
          <w:tcPr>
            <w:tcW w:w="24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指标值确定依据</w:t>
            </w:r>
          </w:p>
        </w:tc>
      </w:tr>
      <w:tr>
        <w:tblPrEx>
          <w:tblLayout w:type="fixed"/>
          <w:tblCellMar>
            <w:top w:w="0" w:type="dxa"/>
            <w:left w:w="57" w:type="dxa"/>
            <w:bottom w:w="0" w:type="dxa"/>
            <w:right w:w="57" w:type="dxa"/>
          </w:tblCellMar>
        </w:tblPrEx>
        <w:trPr>
          <w:trHeight w:val="425" w:hRule="atLeast"/>
        </w:trPr>
        <w:tc>
          <w:tcPr>
            <w:tcW w:w="799"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长期绩效目标1</w:t>
            </w:r>
          </w:p>
        </w:tc>
        <w:tc>
          <w:tcPr>
            <w:tcW w:w="1137"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成本指标</w:t>
            </w: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经济成本指标</w:t>
            </w:r>
          </w:p>
        </w:tc>
        <w:tc>
          <w:tcPr>
            <w:tcW w:w="2309"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严格控制建设成本</w:t>
            </w:r>
          </w:p>
        </w:tc>
        <w:tc>
          <w:tcPr>
            <w:tcW w:w="156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≤7824万元</w:t>
            </w:r>
          </w:p>
        </w:tc>
        <w:tc>
          <w:tcPr>
            <w:tcW w:w="24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r>
      <w:tr>
        <w:tblPrEx>
          <w:tblLayout w:type="fixed"/>
          <w:tblCellMar>
            <w:top w:w="0" w:type="dxa"/>
            <w:left w:w="57" w:type="dxa"/>
            <w:bottom w:w="0" w:type="dxa"/>
            <w:right w:w="57" w:type="dxa"/>
          </w:tblCellMar>
        </w:tblPrEx>
        <w:trPr>
          <w:trHeight w:val="425"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社会成本指标</w:t>
            </w:r>
          </w:p>
        </w:tc>
        <w:tc>
          <w:tcPr>
            <w:tcW w:w="2309"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保障人民群众生命财产安全</w:t>
            </w:r>
          </w:p>
        </w:tc>
        <w:tc>
          <w:tcPr>
            <w:tcW w:w="156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有效保障</w:t>
            </w:r>
          </w:p>
        </w:tc>
        <w:tc>
          <w:tcPr>
            <w:tcW w:w="24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r>
      <w:tr>
        <w:tblPrEx>
          <w:tblLayout w:type="fixed"/>
          <w:tblCellMar>
            <w:top w:w="0" w:type="dxa"/>
            <w:left w:w="57" w:type="dxa"/>
            <w:bottom w:w="0" w:type="dxa"/>
            <w:right w:w="57" w:type="dxa"/>
          </w:tblCellMar>
        </w:tblPrEx>
        <w:trPr>
          <w:trHeight w:val="1004"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生态环境成本指标</w:t>
            </w:r>
          </w:p>
        </w:tc>
        <w:tc>
          <w:tcPr>
            <w:tcW w:w="2309"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不造成光污染、噪声污染、废气、污水污染</w:t>
            </w:r>
          </w:p>
        </w:tc>
        <w:tc>
          <w:tcPr>
            <w:tcW w:w="156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无环保投诉或事故</w:t>
            </w:r>
          </w:p>
        </w:tc>
        <w:tc>
          <w:tcPr>
            <w:tcW w:w="24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r>
      <w:tr>
        <w:tblPrEx>
          <w:tblLayout w:type="fixed"/>
          <w:tblCellMar>
            <w:top w:w="0" w:type="dxa"/>
            <w:left w:w="57" w:type="dxa"/>
            <w:bottom w:w="0" w:type="dxa"/>
            <w:right w:w="57" w:type="dxa"/>
          </w:tblCellMar>
        </w:tblPrEx>
        <w:trPr>
          <w:trHeight w:val="425"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产出指标</w:t>
            </w:r>
          </w:p>
        </w:tc>
        <w:tc>
          <w:tcPr>
            <w:tcW w:w="1387"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数量指标</w:t>
            </w:r>
          </w:p>
        </w:tc>
        <w:tc>
          <w:tcPr>
            <w:tcW w:w="2309"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建设总面积</w:t>
            </w:r>
          </w:p>
        </w:tc>
        <w:tc>
          <w:tcPr>
            <w:tcW w:w="156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=7751.41㎡</w:t>
            </w:r>
          </w:p>
        </w:tc>
        <w:tc>
          <w:tcPr>
            <w:tcW w:w="24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r>
      <w:tr>
        <w:tblPrEx>
          <w:tblLayout w:type="fixed"/>
          <w:tblCellMar>
            <w:top w:w="0" w:type="dxa"/>
            <w:left w:w="57" w:type="dxa"/>
            <w:bottom w:w="0" w:type="dxa"/>
            <w:right w:w="57" w:type="dxa"/>
          </w:tblCellMar>
        </w:tblPrEx>
        <w:trPr>
          <w:trHeight w:val="425"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2309"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土地平整　　</w:t>
            </w:r>
          </w:p>
        </w:tc>
        <w:tc>
          <w:tcPr>
            <w:tcW w:w="156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=17333㎡</w:t>
            </w:r>
          </w:p>
        </w:tc>
        <w:tc>
          <w:tcPr>
            <w:tcW w:w="24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r>
      <w:tr>
        <w:tblPrEx>
          <w:tblLayout w:type="fixed"/>
          <w:tblCellMar>
            <w:top w:w="0" w:type="dxa"/>
            <w:left w:w="57" w:type="dxa"/>
            <w:bottom w:w="0" w:type="dxa"/>
            <w:right w:w="57" w:type="dxa"/>
          </w:tblCellMar>
        </w:tblPrEx>
        <w:trPr>
          <w:trHeight w:val="425" w:hRule="atLeast"/>
        </w:trPr>
        <w:tc>
          <w:tcPr>
            <w:tcW w:w="799"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质量指标</w:t>
            </w:r>
          </w:p>
        </w:tc>
        <w:tc>
          <w:tcPr>
            <w:tcW w:w="2309"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验收合格率　</w:t>
            </w:r>
          </w:p>
        </w:tc>
        <w:tc>
          <w:tcPr>
            <w:tcW w:w="156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=100%</w:t>
            </w:r>
          </w:p>
        </w:tc>
        <w:tc>
          <w:tcPr>
            <w:tcW w:w="24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r>
      <w:tr>
        <w:tblPrEx>
          <w:tblLayout w:type="fixed"/>
          <w:tblCellMar>
            <w:top w:w="0" w:type="dxa"/>
            <w:left w:w="57" w:type="dxa"/>
            <w:bottom w:w="0" w:type="dxa"/>
            <w:right w:w="57" w:type="dxa"/>
          </w:tblCellMar>
        </w:tblPrEx>
        <w:trPr>
          <w:trHeight w:val="425"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时效指标</w:t>
            </w:r>
          </w:p>
        </w:tc>
        <w:tc>
          <w:tcPr>
            <w:tcW w:w="2309"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建设进度合格率　</w:t>
            </w:r>
          </w:p>
        </w:tc>
        <w:tc>
          <w:tcPr>
            <w:tcW w:w="156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=100%</w:t>
            </w:r>
          </w:p>
        </w:tc>
        <w:tc>
          <w:tcPr>
            <w:tcW w:w="24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r>
      <w:tr>
        <w:tblPrEx>
          <w:tblLayout w:type="fixed"/>
          <w:tblCellMar>
            <w:top w:w="0" w:type="dxa"/>
            <w:left w:w="57" w:type="dxa"/>
            <w:bottom w:w="0" w:type="dxa"/>
            <w:right w:w="57" w:type="dxa"/>
          </w:tblCellMar>
        </w:tblPrEx>
        <w:trPr>
          <w:trHeight w:val="425"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效益指标</w:t>
            </w: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经济效益指标</w:t>
            </w:r>
          </w:p>
        </w:tc>
        <w:tc>
          <w:tcPr>
            <w:tcW w:w="2309"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保障人民群众生命和财产安全　</w:t>
            </w:r>
          </w:p>
        </w:tc>
        <w:tc>
          <w:tcPr>
            <w:tcW w:w="156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有效保障</w:t>
            </w:r>
          </w:p>
        </w:tc>
        <w:tc>
          <w:tcPr>
            <w:tcW w:w="24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r>
      <w:tr>
        <w:tblPrEx>
          <w:tblLayout w:type="fixed"/>
          <w:tblCellMar>
            <w:top w:w="0" w:type="dxa"/>
            <w:left w:w="57" w:type="dxa"/>
            <w:bottom w:w="0" w:type="dxa"/>
            <w:right w:w="57" w:type="dxa"/>
          </w:tblCellMar>
        </w:tblPrEx>
        <w:trPr>
          <w:trHeight w:val="397"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社会效益指标</w:t>
            </w:r>
          </w:p>
        </w:tc>
        <w:tc>
          <w:tcPr>
            <w:tcW w:w="2309"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施工安全保障</w:t>
            </w:r>
          </w:p>
        </w:tc>
        <w:tc>
          <w:tcPr>
            <w:tcW w:w="156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不发生事故　</w:t>
            </w:r>
          </w:p>
        </w:tc>
        <w:tc>
          <w:tcPr>
            <w:tcW w:w="24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r>
      <w:tr>
        <w:tblPrEx>
          <w:tblLayout w:type="fixed"/>
          <w:tblCellMar>
            <w:top w:w="0" w:type="dxa"/>
            <w:left w:w="57" w:type="dxa"/>
            <w:bottom w:w="0" w:type="dxa"/>
            <w:right w:w="57" w:type="dxa"/>
          </w:tblCellMar>
        </w:tblPrEx>
        <w:trPr>
          <w:trHeight w:val="397"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生态效益指标</w:t>
            </w:r>
          </w:p>
        </w:tc>
        <w:tc>
          <w:tcPr>
            <w:tcW w:w="2309"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生态环境保护　</w:t>
            </w:r>
          </w:p>
        </w:tc>
        <w:tc>
          <w:tcPr>
            <w:tcW w:w="156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无投诉或事故</w:t>
            </w:r>
          </w:p>
        </w:tc>
        <w:tc>
          <w:tcPr>
            <w:tcW w:w="24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r>
      <w:tr>
        <w:tblPrEx>
          <w:tblLayout w:type="fixed"/>
          <w:tblCellMar>
            <w:top w:w="0" w:type="dxa"/>
            <w:left w:w="57" w:type="dxa"/>
            <w:bottom w:w="0" w:type="dxa"/>
            <w:right w:w="57" w:type="dxa"/>
          </w:tblCellMar>
        </w:tblPrEx>
        <w:trPr>
          <w:trHeight w:val="397"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满意度</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指标</w:t>
            </w: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服务对象满意度指标</w:t>
            </w:r>
          </w:p>
        </w:tc>
        <w:tc>
          <w:tcPr>
            <w:tcW w:w="2309"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社会公众满意度</w:t>
            </w:r>
          </w:p>
        </w:tc>
        <w:tc>
          <w:tcPr>
            <w:tcW w:w="156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≥98%</w:t>
            </w:r>
          </w:p>
        </w:tc>
        <w:tc>
          <w:tcPr>
            <w:tcW w:w="24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r>
      <w:tr>
        <w:tblPrEx>
          <w:tblLayout w:type="fixed"/>
          <w:tblCellMar>
            <w:top w:w="0" w:type="dxa"/>
            <w:left w:w="57" w:type="dxa"/>
            <w:bottom w:w="0" w:type="dxa"/>
            <w:right w:w="57" w:type="dxa"/>
          </w:tblCellMar>
        </w:tblPrEx>
        <w:trPr>
          <w:trHeight w:val="397" w:hRule="atLeast"/>
        </w:trPr>
        <w:tc>
          <w:tcPr>
            <w:tcW w:w="9652" w:type="dxa"/>
            <w:gridSpan w:val="1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jc w:val="center"/>
              <w:rPr>
                <w:rFonts w:ascii="仿宋_GB2312" w:hAnsi="仿宋_GB2312" w:eastAsia="仿宋_GB2312" w:cs="仿宋_GB2312"/>
                <w:kern w:val="0"/>
                <w:sz w:val="21"/>
                <w:szCs w:val="21"/>
              </w:rPr>
            </w:pPr>
            <w:r>
              <w:rPr>
                <w:rFonts w:ascii="仿宋_GB2312" w:hAnsi="仿宋_GB2312" w:eastAsia="仿宋_GB2312" w:cs="仿宋_GB2312"/>
                <w:b/>
                <w:bCs/>
                <w:kern w:val="0"/>
                <w:sz w:val="21"/>
                <w:szCs w:val="21"/>
              </w:rPr>
              <w:t>年度绩效目标表</w:t>
            </w:r>
          </w:p>
        </w:tc>
      </w:tr>
      <w:tr>
        <w:tblPrEx>
          <w:tblLayout w:type="fixed"/>
          <w:tblCellMar>
            <w:top w:w="0" w:type="dxa"/>
            <w:left w:w="57" w:type="dxa"/>
            <w:bottom w:w="0" w:type="dxa"/>
            <w:right w:w="57" w:type="dxa"/>
          </w:tblCellMar>
        </w:tblPrEx>
        <w:trPr>
          <w:trHeight w:val="397" w:hRule="atLeast"/>
        </w:trPr>
        <w:tc>
          <w:tcPr>
            <w:tcW w:w="799"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目标名称</w:t>
            </w:r>
          </w:p>
        </w:tc>
        <w:tc>
          <w:tcPr>
            <w:tcW w:w="1137"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一级指标</w:t>
            </w:r>
          </w:p>
        </w:tc>
        <w:tc>
          <w:tcPr>
            <w:tcW w:w="1387"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二级指标</w:t>
            </w:r>
          </w:p>
        </w:tc>
        <w:tc>
          <w:tcPr>
            <w:tcW w:w="1594"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三级</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指标</w:t>
            </w:r>
          </w:p>
        </w:tc>
        <w:tc>
          <w:tcPr>
            <w:tcW w:w="3206" w:type="dxa"/>
            <w:gridSpan w:val="7"/>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指标值</w:t>
            </w:r>
          </w:p>
        </w:tc>
        <w:tc>
          <w:tcPr>
            <w:tcW w:w="1529"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指标值确定</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依据</w:t>
            </w:r>
          </w:p>
        </w:tc>
      </w:tr>
      <w:tr>
        <w:tblPrEx>
          <w:tblLayout w:type="fixed"/>
          <w:tblCellMar>
            <w:top w:w="0" w:type="dxa"/>
            <w:left w:w="57" w:type="dxa"/>
            <w:bottom w:w="0" w:type="dxa"/>
            <w:right w:w="57" w:type="dxa"/>
          </w:tblCellMar>
        </w:tblPrEx>
        <w:trPr>
          <w:trHeight w:val="397"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594"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88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前年</w:t>
            </w:r>
          </w:p>
        </w:tc>
        <w:tc>
          <w:tcPr>
            <w:tcW w:w="6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上年</w:t>
            </w:r>
          </w:p>
        </w:tc>
        <w:tc>
          <w:tcPr>
            <w:tcW w:w="165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预计当年</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实现</w:t>
            </w:r>
          </w:p>
        </w:tc>
        <w:tc>
          <w:tcPr>
            <w:tcW w:w="152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r>
      <w:tr>
        <w:tblPrEx>
          <w:tblLayout w:type="fixed"/>
          <w:tblCellMar>
            <w:top w:w="0" w:type="dxa"/>
            <w:left w:w="57" w:type="dxa"/>
            <w:bottom w:w="0" w:type="dxa"/>
            <w:right w:w="57" w:type="dxa"/>
          </w:tblCellMar>
        </w:tblPrEx>
        <w:trPr>
          <w:trHeight w:val="397" w:hRule="atLeast"/>
        </w:trPr>
        <w:tc>
          <w:tcPr>
            <w:tcW w:w="799"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年度绩效目标1</w:t>
            </w:r>
          </w:p>
        </w:tc>
        <w:tc>
          <w:tcPr>
            <w:tcW w:w="1137"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成本指标</w:t>
            </w: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经济成本指标</w:t>
            </w:r>
          </w:p>
        </w:tc>
        <w:tc>
          <w:tcPr>
            <w:tcW w:w="1594"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严格控制预算成本</w:t>
            </w:r>
          </w:p>
        </w:tc>
        <w:tc>
          <w:tcPr>
            <w:tcW w:w="88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6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65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≤2800万元</w:t>
            </w:r>
          </w:p>
        </w:tc>
        <w:tc>
          <w:tcPr>
            <w:tcW w:w="152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计划数据（数据统计）</w:t>
            </w:r>
          </w:p>
        </w:tc>
      </w:tr>
      <w:tr>
        <w:tblPrEx>
          <w:tblLayout w:type="fixed"/>
          <w:tblCellMar>
            <w:top w:w="0" w:type="dxa"/>
            <w:left w:w="57" w:type="dxa"/>
            <w:bottom w:w="0" w:type="dxa"/>
            <w:right w:w="57" w:type="dxa"/>
          </w:tblCellMar>
        </w:tblPrEx>
        <w:trPr>
          <w:trHeight w:val="397"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社会成本指标</w:t>
            </w:r>
          </w:p>
        </w:tc>
        <w:tc>
          <w:tcPr>
            <w:tcW w:w="1594"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应急基础能力</w:t>
            </w:r>
          </w:p>
        </w:tc>
        <w:tc>
          <w:tcPr>
            <w:tcW w:w="88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6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65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应急能力提升</w:t>
            </w:r>
          </w:p>
        </w:tc>
        <w:tc>
          <w:tcPr>
            <w:tcW w:w="152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计划数据</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（数据统计）</w:t>
            </w:r>
          </w:p>
        </w:tc>
      </w:tr>
      <w:tr>
        <w:tblPrEx>
          <w:tblLayout w:type="fixed"/>
          <w:tblCellMar>
            <w:top w:w="0" w:type="dxa"/>
            <w:left w:w="57" w:type="dxa"/>
            <w:bottom w:w="0" w:type="dxa"/>
            <w:right w:w="57" w:type="dxa"/>
          </w:tblCellMar>
        </w:tblPrEx>
        <w:trPr>
          <w:trHeight w:val="397"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生态环境成本指标</w:t>
            </w:r>
          </w:p>
        </w:tc>
        <w:tc>
          <w:tcPr>
            <w:tcW w:w="1594"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区域环境</w:t>
            </w:r>
          </w:p>
        </w:tc>
        <w:tc>
          <w:tcPr>
            <w:tcW w:w="88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6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65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区域环境提升</w:t>
            </w:r>
          </w:p>
        </w:tc>
        <w:tc>
          <w:tcPr>
            <w:tcW w:w="152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计划数据</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（数据统计）</w:t>
            </w:r>
          </w:p>
        </w:tc>
      </w:tr>
      <w:tr>
        <w:tblPrEx>
          <w:tblLayout w:type="fixed"/>
          <w:tblCellMar>
            <w:top w:w="0" w:type="dxa"/>
            <w:left w:w="57" w:type="dxa"/>
            <w:bottom w:w="0" w:type="dxa"/>
            <w:right w:w="57" w:type="dxa"/>
          </w:tblCellMar>
        </w:tblPrEx>
        <w:trPr>
          <w:trHeight w:val="1131"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产出指标</w:t>
            </w: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项目建设按期开工率　　</w:t>
            </w:r>
          </w:p>
        </w:tc>
        <w:tc>
          <w:tcPr>
            <w:tcW w:w="1594"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=100%　</w:t>
            </w:r>
          </w:p>
        </w:tc>
        <w:tc>
          <w:tcPr>
            <w:tcW w:w="88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c>
          <w:tcPr>
            <w:tcW w:w="6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c>
          <w:tcPr>
            <w:tcW w:w="165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=100%</w:t>
            </w:r>
          </w:p>
        </w:tc>
        <w:tc>
          <w:tcPr>
            <w:tcW w:w="152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计划数据</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（数据统计）</w:t>
            </w:r>
          </w:p>
        </w:tc>
      </w:tr>
      <w:tr>
        <w:tblPrEx>
          <w:tblLayout w:type="fixed"/>
          <w:tblCellMar>
            <w:top w:w="0" w:type="dxa"/>
            <w:left w:w="57" w:type="dxa"/>
            <w:bottom w:w="0" w:type="dxa"/>
            <w:right w:w="57" w:type="dxa"/>
          </w:tblCellMar>
        </w:tblPrEx>
        <w:trPr>
          <w:trHeight w:val="557"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土地平整率　</w:t>
            </w:r>
          </w:p>
        </w:tc>
        <w:tc>
          <w:tcPr>
            <w:tcW w:w="1594"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=100%　</w:t>
            </w:r>
          </w:p>
        </w:tc>
        <w:tc>
          <w:tcPr>
            <w:tcW w:w="88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c>
          <w:tcPr>
            <w:tcW w:w="6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c>
          <w:tcPr>
            <w:tcW w:w="165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c>
          <w:tcPr>
            <w:tcW w:w="152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r>
      <w:tr>
        <w:tblPrEx>
          <w:tblLayout w:type="fixed"/>
          <w:tblCellMar>
            <w:top w:w="0" w:type="dxa"/>
            <w:left w:w="57" w:type="dxa"/>
            <w:bottom w:w="0" w:type="dxa"/>
            <w:right w:w="57" w:type="dxa"/>
          </w:tblCellMar>
        </w:tblPrEx>
        <w:trPr>
          <w:trHeight w:val="793"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验收合格率　</w:t>
            </w:r>
          </w:p>
        </w:tc>
        <w:tc>
          <w:tcPr>
            <w:tcW w:w="1594"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=100%　</w:t>
            </w:r>
          </w:p>
        </w:tc>
        <w:tc>
          <w:tcPr>
            <w:tcW w:w="88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c>
          <w:tcPr>
            <w:tcW w:w="6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c>
          <w:tcPr>
            <w:tcW w:w="165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=100%</w:t>
            </w:r>
          </w:p>
        </w:tc>
        <w:tc>
          <w:tcPr>
            <w:tcW w:w="152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计划数据</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（数据统计）</w:t>
            </w:r>
          </w:p>
        </w:tc>
      </w:tr>
      <w:tr>
        <w:tblPrEx>
          <w:tblLayout w:type="fixed"/>
          <w:tblCellMar>
            <w:top w:w="0" w:type="dxa"/>
            <w:left w:w="57" w:type="dxa"/>
            <w:bottom w:w="0" w:type="dxa"/>
            <w:right w:w="57" w:type="dxa"/>
          </w:tblCellMar>
        </w:tblPrEx>
        <w:trPr>
          <w:trHeight w:val="737"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建设进度合格率　　　</w:t>
            </w:r>
          </w:p>
        </w:tc>
        <w:tc>
          <w:tcPr>
            <w:tcW w:w="1594"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=100%</w:t>
            </w:r>
          </w:p>
        </w:tc>
        <w:tc>
          <w:tcPr>
            <w:tcW w:w="88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c>
          <w:tcPr>
            <w:tcW w:w="6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c>
          <w:tcPr>
            <w:tcW w:w="165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=100%</w:t>
            </w:r>
          </w:p>
        </w:tc>
        <w:tc>
          <w:tcPr>
            <w:tcW w:w="152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计划数据</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（数据统计）</w:t>
            </w:r>
          </w:p>
        </w:tc>
      </w:tr>
      <w:tr>
        <w:tblPrEx>
          <w:tblLayout w:type="fixed"/>
          <w:tblCellMar>
            <w:top w:w="0" w:type="dxa"/>
            <w:left w:w="57" w:type="dxa"/>
            <w:bottom w:w="0" w:type="dxa"/>
            <w:right w:w="57" w:type="dxa"/>
          </w:tblCellMar>
        </w:tblPrEx>
        <w:trPr>
          <w:trHeight w:val="397"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效益指标</w:t>
            </w: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社会效益</w:t>
            </w:r>
          </w:p>
        </w:tc>
        <w:tc>
          <w:tcPr>
            <w:tcW w:w="1594"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施工安全保障　</w:t>
            </w:r>
          </w:p>
        </w:tc>
        <w:tc>
          <w:tcPr>
            <w:tcW w:w="88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6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65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有效保障</w:t>
            </w:r>
          </w:p>
        </w:tc>
        <w:tc>
          <w:tcPr>
            <w:tcW w:w="152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计划数据</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（数据统计）</w:t>
            </w:r>
          </w:p>
        </w:tc>
      </w:tr>
      <w:tr>
        <w:tblPrEx>
          <w:tblLayout w:type="fixed"/>
          <w:tblCellMar>
            <w:top w:w="0" w:type="dxa"/>
            <w:left w:w="57" w:type="dxa"/>
            <w:bottom w:w="0" w:type="dxa"/>
            <w:right w:w="57" w:type="dxa"/>
          </w:tblCellMar>
        </w:tblPrEx>
        <w:trPr>
          <w:trHeight w:val="397"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可持续性　　</w:t>
            </w:r>
          </w:p>
        </w:tc>
        <w:tc>
          <w:tcPr>
            <w:tcW w:w="1594"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项目可持续性　</w:t>
            </w:r>
          </w:p>
        </w:tc>
        <w:tc>
          <w:tcPr>
            <w:tcW w:w="88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6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65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达到预期指标</w:t>
            </w:r>
          </w:p>
        </w:tc>
        <w:tc>
          <w:tcPr>
            <w:tcW w:w="152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计划数据</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（数据统计）</w:t>
            </w:r>
          </w:p>
        </w:tc>
      </w:tr>
      <w:tr>
        <w:tblPrEx>
          <w:tblLayout w:type="fixed"/>
          <w:tblCellMar>
            <w:top w:w="0" w:type="dxa"/>
            <w:left w:w="57" w:type="dxa"/>
            <w:bottom w:w="0" w:type="dxa"/>
            <w:right w:w="57" w:type="dxa"/>
          </w:tblCellMar>
        </w:tblPrEx>
        <w:trPr>
          <w:trHeight w:val="492"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生态效益</w:t>
            </w:r>
          </w:p>
        </w:tc>
        <w:tc>
          <w:tcPr>
            <w:tcW w:w="1594"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生态环境保护　</w:t>
            </w:r>
          </w:p>
        </w:tc>
        <w:tc>
          <w:tcPr>
            <w:tcW w:w="88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6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65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不发生投诉或事故</w:t>
            </w:r>
          </w:p>
        </w:tc>
        <w:tc>
          <w:tcPr>
            <w:tcW w:w="152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计划数据</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（数据统计）</w:t>
            </w:r>
          </w:p>
        </w:tc>
      </w:tr>
      <w:tr>
        <w:tblPrEx>
          <w:tblLayout w:type="fixed"/>
          <w:tblCellMar>
            <w:top w:w="0" w:type="dxa"/>
            <w:left w:w="57" w:type="dxa"/>
            <w:bottom w:w="0" w:type="dxa"/>
            <w:right w:w="57" w:type="dxa"/>
          </w:tblCellMar>
        </w:tblPrEx>
        <w:trPr>
          <w:trHeight w:val="397" w:hRule="atLeast"/>
        </w:trPr>
        <w:tc>
          <w:tcPr>
            <w:tcW w:w="799"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13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满意度</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指标</w:t>
            </w:r>
          </w:p>
        </w:tc>
        <w:tc>
          <w:tcPr>
            <w:tcW w:w="138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w:t>
            </w:r>
          </w:p>
        </w:tc>
        <w:tc>
          <w:tcPr>
            <w:tcW w:w="1594"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　</w:t>
            </w:r>
          </w:p>
        </w:tc>
        <w:tc>
          <w:tcPr>
            <w:tcW w:w="88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67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napToGrid w:val="0"/>
              <w:spacing w:line="360" w:lineRule="exact"/>
              <w:ind w:firstLine="0"/>
              <w:rPr>
                <w:rFonts w:ascii="仿宋_GB2312" w:hAnsi="仿宋_GB2312" w:eastAsia="仿宋_GB2312" w:cs="仿宋_GB2312"/>
                <w:kern w:val="0"/>
                <w:sz w:val="21"/>
                <w:szCs w:val="21"/>
              </w:rPr>
            </w:pPr>
          </w:p>
        </w:tc>
        <w:tc>
          <w:tcPr>
            <w:tcW w:w="165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≥98%</w:t>
            </w:r>
          </w:p>
        </w:tc>
        <w:tc>
          <w:tcPr>
            <w:tcW w:w="152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计划数据</w:t>
            </w:r>
          </w:p>
          <w:p>
            <w:pPr>
              <w:widowControl/>
              <w:spacing w:line="360" w:lineRule="exact"/>
              <w:ind w:firstLine="0"/>
              <w:rPr>
                <w:rFonts w:ascii="仿宋_GB2312" w:hAnsi="仿宋_GB2312" w:eastAsia="仿宋_GB2312" w:cs="仿宋_GB2312"/>
                <w:kern w:val="0"/>
                <w:sz w:val="21"/>
                <w:szCs w:val="21"/>
              </w:rPr>
            </w:pPr>
            <w:r>
              <w:rPr>
                <w:rFonts w:ascii="仿宋_GB2312" w:hAnsi="仿宋_GB2312" w:eastAsia="仿宋_GB2312" w:cs="仿宋_GB2312"/>
                <w:kern w:val="0"/>
                <w:sz w:val="21"/>
                <w:szCs w:val="21"/>
              </w:rPr>
              <w:t>（数据统计）</w:t>
            </w:r>
          </w:p>
        </w:tc>
      </w:tr>
    </w:tbl>
    <w:p>
      <w:pPr>
        <w:pStyle w:val="4"/>
        <w:shd w:val="clear" w:fill="FFFFFF"/>
        <w:spacing w:before="0" w:after="0" w:line="240" w:lineRule="auto"/>
        <w:ind w:firstLine="0"/>
        <w:contextualSpacing/>
        <w:jc w:val="left"/>
        <w:rPr>
          <w:rFonts w:ascii="Times New Roman" w:hAnsi="Times New Roman" w:cs="Times New Roman"/>
          <w:sz w:val="21"/>
          <w:szCs w:val="21"/>
        </w:rPr>
        <w:sectPr>
          <w:headerReference r:id="rId12" w:type="default"/>
          <w:footerReference r:id="rId13" w:type="default"/>
          <w:pgSz w:w="11906" w:h="16838"/>
          <w:pgMar w:top="2098" w:right="1474" w:bottom="1984" w:left="1587" w:header="851" w:footer="1304" w:gutter="0"/>
          <w:pgNumType w:fmt="decimal"/>
          <w:formProt w:val="0"/>
          <w:docGrid w:type="linesAndChars" w:linePitch="610" w:charSpace="-3482"/>
        </w:sectPr>
      </w:pPr>
    </w:p>
    <w:p>
      <w:pPr>
        <w:pStyle w:val="4"/>
        <w:shd w:val="clear" w:fill="FFFFFF"/>
        <w:spacing w:before="0" w:after="0" w:line="560" w:lineRule="exact"/>
        <w:ind w:firstLine="610"/>
        <w:contextualSpacing/>
        <w:jc w:val="left"/>
        <w:rPr>
          <w:rFonts w:ascii="Times New Roman" w:hAnsi="Times New Roman" w:eastAsia="楷体" w:cs="Times New Roman"/>
        </w:rPr>
      </w:pPr>
      <w:bookmarkStart w:id="30" w:name="__RefHeading___Toc142235584"/>
      <w:bookmarkEnd w:id="30"/>
      <w:r>
        <w:rPr>
          <w:rFonts w:ascii="Times New Roman" w:hAnsi="Times New Roman" w:eastAsia="楷体" w:cs="Times New Roman"/>
        </w:rPr>
        <w:t>附件3 资金使用明细表</w:t>
      </w:r>
    </w:p>
    <w:p>
      <w:pPr>
        <w:ind w:firstLine="0"/>
        <w:jc w:val="center"/>
        <w:rPr>
          <w:rFonts w:eastAsia="楷体"/>
          <w:b/>
          <w:bCs/>
        </w:rPr>
      </w:pPr>
      <w:r>
        <w:rPr>
          <w:rFonts w:eastAsia="楷体"/>
          <w:b/>
          <w:bCs/>
        </w:rPr>
        <w:t>2022年崇阳县应急救援中心项目支付明细表</w:t>
      </w:r>
    </w:p>
    <w:tbl>
      <w:tblPr>
        <w:tblStyle w:val="19"/>
        <w:tblW w:w="9039" w:type="dxa"/>
        <w:tblInd w:w="0" w:type="dxa"/>
        <w:tblLayout w:type="fixed"/>
        <w:tblCellMar>
          <w:top w:w="0" w:type="dxa"/>
          <w:left w:w="108" w:type="dxa"/>
          <w:bottom w:w="0" w:type="dxa"/>
          <w:right w:w="108" w:type="dxa"/>
        </w:tblCellMar>
      </w:tblPr>
      <w:tblGrid>
        <w:gridCol w:w="675"/>
        <w:gridCol w:w="2373"/>
        <w:gridCol w:w="1738"/>
        <w:gridCol w:w="2693"/>
        <w:gridCol w:w="1560"/>
      </w:tblGrid>
      <w:tr>
        <w:tblPrEx>
          <w:tblLayout w:type="fixed"/>
          <w:tblCellMar>
            <w:top w:w="0" w:type="dxa"/>
            <w:left w:w="108" w:type="dxa"/>
            <w:bottom w:w="0" w:type="dxa"/>
            <w:right w:w="108" w:type="dxa"/>
          </w:tblCellMar>
        </w:tblPrEx>
        <w:trPr>
          <w:trHeight w:val="560" w:hRule="atLeast"/>
          <w:tblHeader/>
        </w:trPr>
        <w:tc>
          <w:tcPr>
            <w:tcW w:w="675" w:type="dxa"/>
            <w:tcBorders>
              <w:top w:val="single" w:color="000000" w:sz="4" w:space="0"/>
              <w:left w:val="single" w:color="000000" w:sz="4" w:space="0"/>
              <w:bottom w:val="single" w:color="000000" w:sz="4" w:space="0"/>
              <w:right w:val="single" w:color="000000" w:sz="4" w:space="0"/>
            </w:tcBorders>
            <w:shd w:val="clear" w:color="auto" w:fill="5AB1FD"/>
            <w:vAlign w:val="center"/>
          </w:tcPr>
          <w:p>
            <w:pPr>
              <w:widowControl/>
              <w:spacing w:line="200" w:lineRule="exact"/>
              <w:ind w:firstLine="0"/>
              <w:jc w:val="center"/>
              <w:textAlignment w:val="center"/>
              <w:rPr>
                <w:rFonts w:ascii="宋体" w:hAnsi="宋体" w:eastAsia="宋体" w:cs="宋体"/>
                <w:b/>
                <w:bCs/>
                <w:sz w:val="18"/>
                <w:szCs w:val="18"/>
              </w:rPr>
            </w:pPr>
            <w:r>
              <w:rPr>
                <w:rFonts w:ascii="宋体" w:hAnsi="宋体" w:eastAsia="宋体" w:cs="宋体"/>
                <w:b/>
                <w:bCs/>
                <w:kern w:val="0"/>
                <w:sz w:val="18"/>
                <w:szCs w:val="18"/>
                <w:lang w:bidi="ar"/>
              </w:rPr>
              <w:t>序号</w:t>
            </w:r>
          </w:p>
        </w:tc>
        <w:tc>
          <w:tcPr>
            <w:tcW w:w="2373" w:type="dxa"/>
            <w:tcBorders>
              <w:top w:val="single" w:color="000000" w:sz="4" w:space="0"/>
              <w:left w:val="single" w:color="000000" w:sz="4" w:space="0"/>
              <w:bottom w:val="single" w:color="000000" w:sz="4" w:space="0"/>
              <w:right w:val="single" w:color="000000" w:sz="4" w:space="0"/>
            </w:tcBorders>
            <w:shd w:val="clear" w:color="auto" w:fill="5AB1FD"/>
            <w:vAlign w:val="center"/>
          </w:tcPr>
          <w:p>
            <w:pPr>
              <w:widowControl/>
              <w:spacing w:line="200" w:lineRule="exact"/>
              <w:ind w:firstLine="0"/>
              <w:jc w:val="center"/>
              <w:textAlignment w:val="center"/>
              <w:rPr>
                <w:rFonts w:ascii="宋体" w:hAnsi="宋体" w:eastAsia="宋体" w:cs="宋体"/>
                <w:b/>
                <w:bCs/>
                <w:sz w:val="18"/>
                <w:szCs w:val="18"/>
              </w:rPr>
            </w:pPr>
            <w:r>
              <w:rPr>
                <w:rFonts w:ascii="宋体" w:hAnsi="宋体" w:eastAsia="宋体" w:cs="宋体"/>
                <w:b/>
                <w:bCs/>
                <w:kern w:val="0"/>
                <w:sz w:val="18"/>
                <w:szCs w:val="18"/>
                <w:lang w:bidi="ar"/>
              </w:rPr>
              <w:t>预算项目名称</w:t>
            </w:r>
          </w:p>
        </w:tc>
        <w:tc>
          <w:tcPr>
            <w:tcW w:w="1738" w:type="dxa"/>
            <w:tcBorders>
              <w:top w:val="single" w:color="000000" w:sz="4" w:space="0"/>
              <w:left w:val="single" w:color="000000" w:sz="4" w:space="0"/>
              <w:bottom w:val="single" w:color="000000" w:sz="4" w:space="0"/>
              <w:right w:val="single" w:color="000000" w:sz="4" w:space="0"/>
            </w:tcBorders>
            <w:shd w:val="clear" w:color="auto" w:fill="5AB1FD"/>
            <w:vAlign w:val="center"/>
          </w:tcPr>
          <w:p>
            <w:pPr>
              <w:widowControl/>
              <w:spacing w:line="200" w:lineRule="exact"/>
              <w:ind w:firstLine="0"/>
              <w:jc w:val="center"/>
              <w:textAlignment w:val="center"/>
              <w:rPr>
                <w:rFonts w:ascii="宋体" w:hAnsi="宋体" w:eastAsia="宋体" w:cs="宋体"/>
                <w:b/>
                <w:bCs/>
                <w:sz w:val="18"/>
                <w:szCs w:val="18"/>
              </w:rPr>
            </w:pPr>
            <w:r>
              <w:rPr>
                <w:rFonts w:ascii="宋体" w:hAnsi="宋体" w:eastAsia="宋体" w:cs="宋体"/>
                <w:b/>
                <w:bCs/>
                <w:kern w:val="0"/>
                <w:sz w:val="18"/>
                <w:szCs w:val="18"/>
                <w:lang w:bidi="ar"/>
              </w:rPr>
              <w:t>已确认支付金额</w:t>
            </w:r>
          </w:p>
        </w:tc>
        <w:tc>
          <w:tcPr>
            <w:tcW w:w="2693" w:type="dxa"/>
            <w:tcBorders>
              <w:top w:val="single" w:color="000000" w:sz="4" w:space="0"/>
              <w:left w:val="single" w:color="000000" w:sz="4" w:space="0"/>
              <w:bottom w:val="single" w:color="000000" w:sz="4" w:space="0"/>
              <w:right w:val="single" w:color="000000" w:sz="4" w:space="0"/>
            </w:tcBorders>
            <w:shd w:val="clear" w:color="auto" w:fill="5AB1FD"/>
            <w:vAlign w:val="center"/>
          </w:tcPr>
          <w:p>
            <w:pPr>
              <w:widowControl/>
              <w:spacing w:line="200" w:lineRule="exact"/>
              <w:ind w:firstLine="329"/>
              <w:jc w:val="center"/>
              <w:textAlignment w:val="center"/>
              <w:rPr>
                <w:rFonts w:ascii="宋体" w:hAnsi="宋体" w:eastAsia="宋体" w:cs="宋体"/>
                <w:b/>
                <w:bCs/>
                <w:sz w:val="18"/>
                <w:szCs w:val="18"/>
              </w:rPr>
            </w:pPr>
            <w:r>
              <w:rPr>
                <w:rFonts w:ascii="宋体" w:hAnsi="宋体" w:eastAsia="宋体" w:cs="宋体"/>
                <w:b/>
                <w:bCs/>
                <w:kern w:val="0"/>
                <w:sz w:val="18"/>
                <w:szCs w:val="18"/>
                <w:lang w:bidi="ar"/>
              </w:rPr>
              <w:t>支付摘要</w:t>
            </w:r>
          </w:p>
        </w:tc>
        <w:tc>
          <w:tcPr>
            <w:tcW w:w="1560" w:type="dxa"/>
            <w:tcBorders>
              <w:top w:val="single" w:color="000000" w:sz="4" w:space="0"/>
              <w:left w:val="single" w:color="000000" w:sz="4" w:space="0"/>
              <w:bottom w:val="single" w:color="000000" w:sz="4" w:space="0"/>
              <w:right w:val="single" w:color="000000" w:sz="4" w:space="0"/>
            </w:tcBorders>
            <w:shd w:val="clear" w:color="auto" w:fill="5AB1FD"/>
            <w:vAlign w:val="center"/>
          </w:tcPr>
          <w:p>
            <w:pPr>
              <w:widowControl/>
              <w:spacing w:line="200" w:lineRule="exact"/>
              <w:ind w:firstLine="0"/>
              <w:jc w:val="center"/>
              <w:textAlignment w:val="center"/>
              <w:rPr>
                <w:rFonts w:ascii="宋体" w:hAnsi="宋体" w:eastAsia="宋体" w:cs="宋体"/>
                <w:b/>
                <w:bCs/>
                <w:sz w:val="18"/>
                <w:szCs w:val="18"/>
              </w:rPr>
            </w:pPr>
            <w:r>
              <w:rPr>
                <w:rFonts w:ascii="宋体" w:hAnsi="宋体" w:eastAsia="宋体" w:cs="宋体"/>
                <w:b/>
                <w:bCs/>
                <w:kern w:val="0"/>
                <w:sz w:val="18"/>
                <w:szCs w:val="18"/>
                <w:lang w:bidi="ar"/>
              </w:rPr>
              <w:t>支付日期</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sz w:val="18"/>
                <w:szCs w:val="18"/>
              </w:rPr>
            </w:pPr>
            <w:r>
              <w:rPr>
                <w:rFonts w:ascii="宋体" w:hAnsi="宋体" w:eastAsia="宋体" w:cs="宋体"/>
                <w:kern w:val="0"/>
                <w:sz w:val="18"/>
                <w:szCs w:val="18"/>
                <w:lang w:bidi="ar"/>
              </w:rPr>
              <w:t>1</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sz w:val="18"/>
                <w:szCs w:val="18"/>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sz w:val="18"/>
                <w:szCs w:val="18"/>
              </w:rPr>
            </w:pPr>
            <w:r>
              <w:rPr>
                <w:rFonts w:ascii="宋体" w:hAnsi="宋体" w:eastAsia="宋体" w:cs="宋体"/>
                <w:kern w:val="0"/>
                <w:sz w:val="18"/>
                <w:szCs w:val="18"/>
                <w:lang w:bidi="ar"/>
              </w:rPr>
              <w:t>7,500.00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sz w:val="18"/>
                <w:szCs w:val="18"/>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sz w:val="18"/>
                <w:szCs w:val="18"/>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-7,500.00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5-10</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31,016.48</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2,990.00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180,051.32</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3,500.00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-11,300.00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5-10</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8</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60,980.00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19,269.00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10</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44,451.00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11</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17,750.00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12</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37,100.00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13</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10,600.00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14</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17,000.00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15</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22,600.00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16</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1,272,507.50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付应急物资储备项目（房屋拆迁）</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8-</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4</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17</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-6,300.00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5-10</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18</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11,300.00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5-24</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19</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23,600.00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5,500.00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21</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1,840.00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22</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11,500.00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付应急物资储备中心项目（鱼塘补偿）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23</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9,000.00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24</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42,980.00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25</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16,290.00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26</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6,400.00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27</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12,031.68</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28</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11,325.00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29</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6,497.80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30</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37,800.44</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31</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1,824.00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32</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9,400.00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33</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3,000.00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34</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20,420.00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35</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26,661.00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36</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644,349.00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付崇阳县应急救援装备物资储备中心及健康驿站场地平整工程款</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7-27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37</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47,562.00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38</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12,000.00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39</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7,500.00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5-24</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40</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6,300.00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5-24</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41</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11,300.00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42</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6,500.00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43</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39,182.36</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44</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37,717.72</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45</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22,700.00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46</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45,702.00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47</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13,800.00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48</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145,601.04</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49</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21,700.00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50</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6,400.00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51</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975</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52</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1,200.00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53</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9,260.00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54</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110,335.70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55</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2,264.00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56</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52,775.00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57</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19,700.00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58</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25,760.00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59</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192,220.00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60</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36,255.28</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61</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2,070.00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62</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20,500.00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63</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6,300.00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64</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21,748.00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65</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23,400.00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66</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21,110.00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67</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721.5</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68</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3,000.00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69</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800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70</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19,900.00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71</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4,300.00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72</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28,000.00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73</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123,665.00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74</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10,558.00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75</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53,380.00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76</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15,500.00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付应急物资储备项目（青苗补偿）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77</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6,000.00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78</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11,600.00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付应急物资储备中心项目（移坟补偿）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eastAsia="zh-CN" w:bidi="ar"/>
              </w:rPr>
              <w:t>2022-05-05</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79</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2,880.00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付应急物资储备中心项目前期费用（移坟坟山平整）</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2022-12-13</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80</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12,000.00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付应急物资储备中心项目前期费用（鱼塘补偿）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81</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7,284.00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82</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16,215.00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83</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21,436.00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付应急物资储备中心项目前期费用（薯窖青苗补偿）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84</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60,420.00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付应急物资储备中心项目前期费用（移坟坟山平整）</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85</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127,000.00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86</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18,535.00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付应急物资储备中心项目前期费用（移坟坟山平整）</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87</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3,036.00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88</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3,381.00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89</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200,000.00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付应急物资储备中心项目前期费用（移坟补偿）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90</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178,380.00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付应急物资储备中心项目前期费用（土地补偿）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91</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2,880.00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付应急物资储备中心项目前期费用（移坟费用）</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92</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8,150.00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93</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585</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94</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5,025.00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95</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3,730.00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96</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7,000.00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97</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3,000.00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付应急物资储备中心项目前期费用（鱼塘补偿）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98</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29,578.00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付应急物资储备中心项目前期费用（土地补偿）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99</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46,872.00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100</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59,483.00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付应急物资储备中心项目前期费用（青苗补偿）</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101</w:t>
            </w:r>
          </w:p>
        </w:tc>
        <w:tc>
          <w:tcPr>
            <w:tcW w:w="237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73,974.00</w:t>
            </w:r>
          </w:p>
        </w:tc>
        <w:tc>
          <w:tcPr>
            <w:tcW w:w="26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付应急物资储备中心项目前期费用（青苗补偿）</w:t>
            </w:r>
          </w:p>
        </w:tc>
        <w:tc>
          <w:tcPr>
            <w:tcW w:w="156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2022-11-07</w:t>
            </w:r>
          </w:p>
        </w:tc>
      </w:tr>
      <w:tr>
        <w:tblPrEx>
          <w:tblLayout w:type="fixed"/>
          <w:tblCellMar>
            <w:top w:w="0" w:type="dxa"/>
            <w:left w:w="108" w:type="dxa"/>
            <w:bottom w:w="0" w:type="dxa"/>
            <w:right w:w="108"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102</w:t>
            </w:r>
          </w:p>
        </w:tc>
        <w:tc>
          <w:tcPr>
            <w:tcW w:w="237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崇阳县应急救援中心项目</w:t>
            </w:r>
          </w:p>
        </w:tc>
        <w:tc>
          <w:tcPr>
            <w:tcW w:w="173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-2,880.00</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left"/>
              <w:textAlignment w:val="center"/>
              <w:rPr>
                <w:rFonts w:ascii="宋体" w:hAnsi="宋体" w:eastAsia="宋体" w:cs="宋体"/>
                <w:kern w:val="0"/>
                <w:sz w:val="18"/>
                <w:szCs w:val="18"/>
                <w:lang w:bidi="ar"/>
              </w:rPr>
            </w:pPr>
            <w:r>
              <w:rPr>
                <w:rFonts w:ascii="宋体" w:hAnsi="宋体" w:eastAsia="宋体" w:cs="宋体"/>
                <w:kern w:val="0"/>
                <w:sz w:val="18"/>
                <w:szCs w:val="18"/>
                <w:lang w:bidi="ar"/>
              </w:rPr>
              <w:t>付应急物资储备中心项目前期费用（移坟费用）</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jc w:val="center"/>
              <w:textAlignment w:val="center"/>
              <w:rPr>
                <w:rFonts w:ascii="宋体" w:hAnsi="宋体" w:eastAsia="宋体" w:cs="宋体"/>
                <w:kern w:val="0"/>
                <w:sz w:val="18"/>
                <w:szCs w:val="18"/>
                <w:lang w:bidi="ar"/>
              </w:rPr>
            </w:pPr>
            <w:r>
              <w:rPr>
                <w:rFonts w:ascii="宋体" w:hAnsi="宋体" w:eastAsia="宋体" w:cs="宋体"/>
                <w:kern w:val="0"/>
                <w:sz w:val="18"/>
                <w:szCs w:val="18"/>
                <w:lang w:bidi="ar"/>
              </w:rPr>
              <w:t>2022-12-</w:t>
            </w:r>
            <w:r>
              <w:rPr>
                <w:rFonts w:hint="eastAsia" w:ascii="宋体" w:hAnsi="宋体" w:eastAsia="宋体" w:cs="宋体"/>
                <w:kern w:val="0"/>
                <w:sz w:val="18"/>
                <w:szCs w:val="18"/>
                <w:lang w:val="en-US" w:eastAsia="zh-CN" w:bidi="ar"/>
              </w:rPr>
              <w:t>0</w:t>
            </w:r>
            <w:r>
              <w:rPr>
                <w:rFonts w:ascii="宋体" w:hAnsi="宋体" w:eastAsia="宋体" w:cs="宋体"/>
                <w:kern w:val="0"/>
                <w:sz w:val="18"/>
                <w:szCs w:val="18"/>
                <w:lang w:bidi="ar"/>
              </w:rPr>
              <w:t>8</w:t>
            </w:r>
          </w:p>
        </w:tc>
      </w:tr>
      <w:tr>
        <w:tblPrEx>
          <w:tblLayout w:type="fixed"/>
          <w:tblCellMar>
            <w:top w:w="0" w:type="dxa"/>
            <w:left w:w="108" w:type="dxa"/>
            <w:bottom w:w="0" w:type="dxa"/>
            <w:right w:w="108" w:type="dxa"/>
          </w:tblCellMar>
        </w:tblPrEx>
        <w:trPr>
          <w:trHeight w:val="600" w:hRule="atLeast"/>
        </w:trPr>
        <w:tc>
          <w:tcPr>
            <w:tcW w:w="3048" w:type="dxa"/>
            <w:gridSpan w:val="2"/>
            <w:tcBorders>
              <w:top w:val="single" w:color="000000" w:sz="4" w:space="0"/>
              <w:left w:val="single" w:color="000000" w:sz="4" w:space="0"/>
              <w:bottom w:val="single" w:color="000000" w:sz="4" w:space="0"/>
              <w:right w:val="single" w:color="000000" w:sz="4" w:space="0"/>
            </w:tcBorders>
            <w:shd w:val="clear" w:color="auto" w:fill="CAE5FA"/>
            <w:vAlign w:val="center"/>
          </w:tcPr>
          <w:p>
            <w:pPr>
              <w:widowControl/>
              <w:spacing w:line="200" w:lineRule="exact"/>
              <w:ind w:firstLine="369"/>
              <w:jc w:val="center"/>
              <w:textAlignment w:val="center"/>
              <w:rPr>
                <w:rFonts w:ascii="宋体" w:hAnsi="宋体" w:eastAsia="宋体" w:cs="宋体"/>
                <w:b/>
                <w:bCs/>
                <w:sz w:val="20"/>
                <w:szCs w:val="20"/>
              </w:rPr>
            </w:pPr>
            <w:r>
              <w:rPr>
                <w:rFonts w:ascii="宋体" w:hAnsi="宋体" w:eastAsia="宋体" w:cs="宋体"/>
                <w:b/>
                <w:bCs/>
                <w:kern w:val="0"/>
                <w:sz w:val="20"/>
                <w:szCs w:val="20"/>
                <w:lang w:bidi="ar"/>
              </w:rPr>
              <w:t>总计：</w:t>
            </w:r>
          </w:p>
        </w:tc>
        <w:tc>
          <w:tcPr>
            <w:tcW w:w="1738" w:type="dxa"/>
            <w:tcBorders>
              <w:top w:val="single" w:color="000000" w:sz="4" w:space="0"/>
              <w:left w:val="single" w:color="000000" w:sz="4" w:space="0"/>
              <w:bottom w:val="single" w:color="000000" w:sz="4" w:space="0"/>
              <w:right w:val="single" w:color="000000" w:sz="4" w:space="0"/>
            </w:tcBorders>
            <w:shd w:val="clear" w:color="auto" w:fill="CAE5FA"/>
            <w:vAlign w:val="center"/>
          </w:tcPr>
          <w:p>
            <w:pPr>
              <w:widowControl/>
              <w:spacing w:line="200" w:lineRule="exact"/>
              <w:ind w:firstLine="369"/>
              <w:jc w:val="center"/>
              <w:textAlignment w:val="center"/>
              <w:rPr>
                <w:rFonts w:ascii="宋体" w:hAnsi="宋体" w:eastAsia="宋体" w:cs="宋体"/>
                <w:b/>
                <w:bCs/>
                <w:sz w:val="20"/>
                <w:szCs w:val="20"/>
              </w:rPr>
            </w:pPr>
            <w:r>
              <w:rPr>
                <w:rFonts w:ascii="宋体" w:hAnsi="宋体" w:eastAsia="宋体" w:cs="宋体"/>
                <w:b/>
                <w:bCs/>
                <w:kern w:val="0"/>
                <w:sz w:val="20"/>
                <w:szCs w:val="20"/>
                <w:lang w:bidi="ar"/>
              </w:rPr>
              <w:t>4,739,160.82</w:t>
            </w:r>
          </w:p>
        </w:tc>
        <w:tc>
          <w:tcPr>
            <w:tcW w:w="2693" w:type="dxa"/>
            <w:tcBorders>
              <w:top w:val="single" w:color="000000" w:sz="4" w:space="0"/>
              <w:left w:val="single" w:color="000000" w:sz="4" w:space="0"/>
              <w:bottom w:val="single" w:color="000000" w:sz="4" w:space="0"/>
              <w:right w:val="single" w:color="000000" w:sz="4" w:space="0"/>
            </w:tcBorders>
            <w:shd w:val="clear" w:color="auto" w:fill="CAE5FA"/>
            <w:vAlign w:val="center"/>
          </w:tcPr>
          <w:p>
            <w:pPr>
              <w:widowControl/>
              <w:snapToGrid w:val="0"/>
              <w:spacing w:line="200" w:lineRule="exact"/>
              <w:ind w:firstLine="369"/>
              <w:jc w:val="center"/>
              <w:rPr>
                <w:rFonts w:ascii="宋体" w:hAnsi="宋体" w:eastAsia="宋体" w:cs="宋体"/>
                <w:b/>
                <w:bCs/>
                <w:sz w:val="20"/>
                <w:szCs w:val="20"/>
              </w:rPr>
            </w:pPr>
          </w:p>
        </w:tc>
        <w:tc>
          <w:tcPr>
            <w:tcW w:w="1560" w:type="dxa"/>
            <w:tcBorders>
              <w:top w:val="single" w:color="000000" w:sz="4" w:space="0"/>
              <w:left w:val="single" w:color="000000" w:sz="4" w:space="0"/>
              <w:bottom w:val="single" w:color="000000" w:sz="4" w:space="0"/>
              <w:right w:val="single" w:color="000000" w:sz="4" w:space="0"/>
            </w:tcBorders>
            <w:shd w:val="clear" w:color="auto" w:fill="CAE5FA"/>
            <w:vAlign w:val="center"/>
          </w:tcPr>
          <w:p>
            <w:pPr>
              <w:widowControl/>
              <w:snapToGrid w:val="0"/>
              <w:spacing w:line="200" w:lineRule="exact"/>
              <w:ind w:firstLine="369"/>
              <w:jc w:val="center"/>
              <w:rPr>
                <w:rFonts w:ascii="宋体" w:hAnsi="宋体" w:eastAsia="宋体" w:cs="宋体"/>
                <w:b/>
                <w:bCs/>
                <w:sz w:val="20"/>
                <w:szCs w:val="20"/>
              </w:rPr>
            </w:pPr>
          </w:p>
        </w:tc>
      </w:tr>
    </w:tbl>
    <w:p>
      <w:pPr>
        <w:pStyle w:val="8"/>
        <w:spacing w:line="200" w:lineRule="exact"/>
        <w:ind w:firstLine="0"/>
      </w:pPr>
    </w:p>
    <w:p>
      <w:pPr>
        <w:pStyle w:val="6"/>
        <w:ind w:left="0" w:firstLine="2904"/>
        <w:jc w:val="both"/>
        <w:rPr>
          <w:b/>
          <w:bCs/>
          <w:sz w:val="28"/>
          <w:szCs w:val="28"/>
        </w:rPr>
      </w:pPr>
      <w:r>
        <w:rPr>
          <w:b/>
          <w:bCs/>
          <w:sz w:val="28"/>
          <w:szCs w:val="28"/>
        </w:rPr>
        <w:t>一般债券支付情况表</w:t>
      </w:r>
    </w:p>
    <w:tbl>
      <w:tblPr>
        <w:tblStyle w:val="19"/>
        <w:tblW w:w="9256" w:type="dxa"/>
        <w:tblInd w:w="96" w:type="dxa"/>
        <w:tblLayout w:type="fixed"/>
        <w:tblCellMar>
          <w:top w:w="0" w:type="dxa"/>
          <w:left w:w="108" w:type="dxa"/>
          <w:bottom w:w="0" w:type="dxa"/>
          <w:right w:w="108" w:type="dxa"/>
        </w:tblCellMar>
      </w:tblPr>
      <w:tblGrid>
        <w:gridCol w:w="493"/>
        <w:gridCol w:w="904"/>
        <w:gridCol w:w="935"/>
        <w:gridCol w:w="1068"/>
        <w:gridCol w:w="958"/>
        <w:gridCol w:w="1029"/>
        <w:gridCol w:w="1187"/>
        <w:gridCol w:w="1530"/>
        <w:gridCol w:w="1152"/>
      </w:tblGrid>
      <w:tr>
        <w:tblPrEx>
          <w:tblLayout w:type="fixed"/>
          <w:tblCellMar>
            <w:top w:w="0" w:type="dxa"/>
            <w:left w:w="108" w:type="dxa"/>
            <w:bottom w:w="0" w:type="dxa"/>
            <w:right w:w="108" w:type="dxa"/>
          </w:tblCellMar>
        </w:tblPrEx>
        <w:trPr>
          <w:trHeight w:val="1109"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序号</w:t>
            </w:r>
          </w:p>
        </w:tc>
        <w:tc>
          <w:tcPr>
            <w:tcW w:w="904"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预算单位名称</w:t>
            </w:r>
          </w:p>
        </w:tc>
        <w:tc>
          <w:tcPr>
            <w:tcW w:w="935"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资金性质</w:t>
            </w:r>
          </w:p>
        </w:tc>
        <w:tc>
          <w:tcPr>
            <w:tcW w:w="106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预算项目名称</w:t>
            </w:r>
          </w:p>
        </w:tc>
        <w:tc>
          <w:tcPr>
            <w:tcW w:w="958"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支付金额</w:t>
            </w:r>
          </w:p>
        </w:tc>
        <w:tc>
          <w:tcPr>
            <w:tcW w:w="1029"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支付摘要</w:t>
            </w:r>
          </w:p>
        </w:tc>
        <w:tc>
          <w:tcPr>
            <w:tcW w:w="1187"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收款人名称</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327"/>
              <w:textAlignment w:val="center"/>
              <w:rPr>
                <w:rFonts w:ascii="宋体" w:hAnsi="宋体" w:eastAsia="宋体" w:cs="宋体"/>
                <w:sz w:val="18"/>
                <w:szCs w:val="18"/>
              </w:rPr>
            </w:pPr>
            <w:r>
              <w:rPr>
                <w:rFonts w:ascii="宋体" w:hAnsi="宋体" w:eastAsia="宋体" w:cs="宋体"/>
                <w:kern w:val="0"/>
                <w:sz w:val="18"/>
                <w:szCs w:val="18"/>
                <w:lang w:bidi="ar"/>
              </w:rPr>
              <w:t>指标文标题</w:t>
            </w:r>
          </w:p>
        </w:tc>
        <w:tc>
          <w:tcPr>
            <w:tcW w:w="1152" w:type="dxa"/>
            <w:tcBorders>
              <w:top w:val="single" w:color="000000" w:sz="4" w:space="0"/>
              <w:left w:val="single" w:color="000000" w:sz="4" w:space="0"/>
              <w:bottom w:val="single" w:color="000000" w:sz="4" w:space="0"/>
              <w:right w:val="single" w:color="000000" w:sz="4" w:space="0"/>
            </w:tcBorders>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支付日期</w:t>
            </w:r>
          </w:p>
        </w:tc>
      </w:tr>
      <w:tr>
        <w:tblPrEx>
          <w:tblLayout w:type="fixed"/>
          <w:tblCellMar>
            <w:top w:w="0" w:type="dxa"/>
            <w:left w:w="108" w:type="dxa"/>
            <w:bottom w:w="0" w:type="dxa"/>
            <w:right w:w="108" w:type="dxa"/>
          </w:tblCellMar>
        </w:tblPrEx>
        <w:trPr>
          <w:trHeight w:val="1490" w:hRule="atLeast"/>
        </w:trPr>
        <w:tc>
          <w:tcPr>
            <w:tcW w:w="493"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1</w:t>
            </w:r>
          </w:p>
        </w:tc>
        <w:tc>
          <w:tcPr>
            <w:tcW w:w="904"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崇阳县应急管理局本级</w:t>
            </w:r>
          </w:p>
        </w:tc>
        <w:tc>
          <w:tcPr>
            <w:tcW w:w="935"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112-一般债券</w:t>
            </w:r>
          </w:p>
        </w:tc>
        <w:tc>
          <w:tcPr>
            <w:tcW w:w="106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崇阳县应急救援中心项目</w:t>
            </w:r>
          </w:p>
        </w:tc>
        <w:tc>
          <w:tcPr>
            <w:tcW w:w="958"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20,000,000.00</w:t>
            </w:r>
          </w:p>
        </w:tc>
        <w:tc>
          <w:tcPr>
            <w:tcW w:w="1029"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付应急救援及物资储备中心建设资金</w:t>
            </w:r>
          </w:p>
        </w:tc>
        <w:tc>
          <w:tcPr>
            <w:tcW w:w="1187"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崇阳县双庆建筑有限公司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应急救援及物资储备中心（2022年新增一般债券资金安排）</w:t>
            </w:r>
          </w:p>
        </w:tc>
        <w:tc>
          <w:tcPr>
            <w:tcW w:w="1152" w:type="dxa"/>
            <w:tcBorders>
              <w:top w:val="single" w:color="000000" w:sz="4" w:space="0"/>
              <w:left w:val="single" w:color="000000" w:sz="4" w:space="0"/>
              <w:bottom w:val="single" w:color="000000" w:sz="4" w:space="0"/>
              <w:right w:val="single" w:color="000000" w:sz="4" w:space="0"/>
            </w:tcBorders>
            <w:shd w:val="clear" w:color="auto" w:fill="F4F6FD"/>
            <w:vAlign w:val="center"/>
          </w:tcPr>
          <w:p>
            <w:pPr>
              <w:widowControl/>
              <w:spacing w:line="200" w:lineRule="exact"/>
              <w:ind w:firstLine="0"/>
              <w:textAlignment w:val="center"/>
              <w:rPr>
                <w:rFonts w:ascii="宋体" w:hAnsi="宋体" w:eastAsia="宋体" w:cs="宋体"/>
                <w:sz w:val="18"/>
                <w:szCs w:val="18"/>
              </w:rPr>
            </w:pPr>
            <w:r>
              <w:rPr>
                <w:rFonts w:ascii="宋体" w:hAnsi="宋体" w:eastAsia="宋体" w:cs="宋体"/>
                <w:kern w:val="0"/>
                <w:sz w:val="18"/>
                <w:szCs w:val="18"/>
                <w:lang w:bidi="ar"/>
              </w:rPr>
              <w:t>2023-01-16</w:t>
            </w:r>
          </w:p>
        </w:tc>
      </w:tr>
    </w:tbl>
    <w:p>
      <w:pPr>
        <w:ind w:firstLine="607"/>
      </w:pPr>
    </w:p>
    <w:p>
      <w:pPr>
        <w:pStyle w:val="61"/>
        <w:ind w:firstLine="607"/>
      </w:pPr>
    </w:p>
    <w:p>
      <w:pPr>
        <w:pStyle w:val="61"/>
        <w:ind w:firstLine="607"/>
      </w:pPr>
    </w:p>
    <w:p>
      <w:pPr>
        <w:pStyle w:val="61"/>
        <w:ind w:firstLine="607"/>
      </w:pPr>
    </w:p>
    <w:p>
      <w:pPr>
        <w:pStyle w:val="61"/>
        <w:ind w:firstLine="607"/>
      </w:pPr>
    </w:p>
    <w:p>
      <w:pPr>
        <w:pStyle w:val="61"/>
        <w:ind w:firstLine="607"/>
      </w:pPr>
    </w:p>
    <w:p>
      <w:pPr>
        <w:pStyle w:val="61"/>
        <w:ind w:firstLine="607"/>
      </w:pPr>
    </w:p>
    <w:p>
      <w:pPr>
        <w:pStyle w:val="61"/>
        <w:ind w:firstLine="607"/>
      </w:pPr>
    </w:p>
    <w:p>
      <w:pPr>
        <w:pStyle w:val="4"/>
        <w:shd w:val="clear" w:fill="FFFFFF"/>
        <w:spacing w:before="0" w:after="0" w:line="560" w:lineRule="exact"/>
        <w:ind w:firstLine="610"/>
        <w:contextualSpacing/>
        <w:jc w:val="left"/>
        <w:rPr>
          <w:rFonts w:ascii="Times New Roman" w:hAnsi="Times New Roman" w:eastAsia="楷体" w:cs="Times New Roman"/>
        </w:rPr>
      </w:pPr>
      <w:bookmarkStart w:id="31" w:name="__RefHeading___Toc142235585"/>
      <w:bookmarkEnd w:id="31"/>
      <w:r>
        <w:rPr>
          <w:rFonts w:ascii="Times New Roman" w:hAnsi="Times New Roman" w:eastAsia="楷体" w:cs="Times New Roman"/>
        </w:rPr>
        <w:t>附件4 项目现场访谈、调查照片</w:t>
      </w:r>
    </w:p>
    <w:p>
      <w:pPr>
        <w:pStyle w:val="4"/>
        <w:shd w:val="clear" w:fill="FFFFFF"/>
        <w:spacing w:before="0" w:after="0" w:line="560" w:lineRule="exact"/>
        <w:ind w:firstLine="610"/>
        <w:contextualSpacing/>
        <w:jc w:val="left"/>
        <w:rPr>
          <w:rFonts w:ascii="Times New Roman" w:hAnsi="Times New Roman" w:eastAsia="楷体" w:cs="Times New Roman"/>
        </w:rPr>
      </w:pPr>
      <w:r>
        <w:rPr>
          <w:rFonts w:ascii="Times New Roman" w:hAnsi="Times New Roman" w:eastAsia="楷体" w:cs="Times New Roman"/>
        </w:rPr>
        <w:drawing>
          <wp:anchor distT="0" distB="0" distL="114935" distR="114935" simplePos="0" relativeHeight="1024" behindDoc="0" locked="0" layoutInCell="0" allowOverlap="1">
            <wp:simplePos x="0" y="0"/>
            <wp:positionH relativeFrom="column">
              <wp:posOffset>149225</wp:posOffset>
            </wp:positionH>
            <wp:positionV relativeFrom="paragraph">
              <wp:posOffset>135890</wp:posOffset>
            </wp:positionV>
            <wp:extent cx="5612765" cy="3221990"/>
            <wp:effectExtent l="0" t="0" r="0" b="0"/>
            <wp:wrapNone/>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noChangeArrowheads="1"/>
                    </pic:cNvPicPr>
                  </pic:nvPicPr>
                  <pic:blipFill>
                    <a:blip r:embed="rId17"/>
                    <a:srcRect l="-6" t="-8" r="-6" b="-8"/>
                    <a:stretch>
                      <a:fillRect/>
                    </a:stretch>
                  </pic:blipFill>
                  <pic:spPr>
                    <a:xfrm>
                      <a:off x="0" y="0"/>
                      <a:ext cx="5612765" cy="3221990"/>
                    </a:xfrm>
                    <a:prstGeom prst="rect">
                      <a:avLst/>
                    </a:prstGeom>
                  </pic:spPr>
                </pic:pic>
              </a:graphicData>
            </a:graphic>
          </wp:anchor>
        </w:drawing>
      </w:r>
    </w:p>
    <w:p>
      <w:pPr>
        <w:pStyle w:val="4"/>
        <w:shd w:val="clear" w:fill="FFFFFF"/>
        <w:spacing w:before="0" w:after="0" w:line="560" w:lineRule="exact"/>
        <w:ind w:firstLine="610"/>
        <w:contextualSpacing/>
        <w:jc w:val="left"/>
        <w:rPr>
          <w:rFonts w:ascii="Times New Roman" w:hAnsi="Times New Roman" w:eastAsia="楷体" w:cs="Times New Roman"/>
        </w:rPr>
      </w:pPr>
    </w:p>
    <w:p>
      <w:pPr>
        <w:pStyle w:val="61"/>
        <w:ind w:firstLine="607"/>
        <w:rPr>
          <w:rFonts w:ascii="Times New Roman" w:hAnsi="Times New Roman" w:eastAsia="楷体" w:cs="Times New Roman"/>
        </w:rPr>
      </w:pPr>
    </w:p>
    <w:p>
      <w:pPr>
        <w:pStyle w:val="61"/>
        <w:ind w:firstLine="607"/>
      </w:pPr>
    </w:p>
    <w:p>
      <w:pPr>
        <w:pStyle w:val="61"/>
        <w:ind w:firstLine="607"/>
        <w:rPr>
          <w:lang w:val="en-US" w:eastAsia="en-US"/>
        </w:rPr>
      </w:pPr>
      <w:r>
        <w:drawing>
          <wp:anchor distT="0" distB="0" distL="114935" distR="114935" simplePos="0" relativeHeight="1024" behindDoc="0" locked="0" layoutInCell="0" allowOverlap="1">
            <wp:simplePos x="0" y="0"/>
            <wp:positionH relativeFrom="column">
              <wp:posOffset>149225</wp:posOffset>
            </wp:positionH>
            <wp:positionV relativeFrom="paragraph">
              <wp:posOffset>2097405</wp:posOffset>
            </wp:positionV>
            <wp:extent cx="5615940" cy="3157855"/>
            <wp:effectExtent l="0" t="0" r="0" b="0"/>
            <wp:wrapNone/>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8"/>
                    <a:srcRect l="-4" t="-6" r="-4" b="-6"/>
                    <a:stretch>
                      <a:fillRect/>
                    </a:stretch>
                  </pic:blipFill>
                  <pic:spPr>
                    <a:xfrm>
                      <a:off x="0" y="0"/>
                      <a:ext cx="5615940" cy="3157855"/>
                    </a:xfrm>
                    <a:prstGeom prst="rect">
                      <a:avLst/>
                    </a:prstGeom>
                  </pic:spPr>
                </pic:pic>
              </a:graphicData>
            </a:graphic>
          </wp:anchor>
        </w:drawing>
      </w:r>
      <w:bookmarkStart w:id="32" w:name="__RefHeading___Toc142235587"/>
      <w:bookmarkEnd w:id="32"/>
      <w:bookmarkStart w:id="33" w:name="_GoBack"/>
      <w:bookmarkEnd w:id="33"/>
    </w:p>
    <w:sectPr>
      <w:headerReference r:id="rId14" w:type="default"/>
      <w:footerReference r:id="rId15" w:type="default"/>
      <w:pgSz w:w="11906" w:h="16838"/>
      <w:pgMar w:top="2098" w:right="1474" w:bottom="1984" w:left="1587" w:header="851" w:footer="1304" w:gutter="0"/>
      <w:pgNumType w:fmt="decimal"/>
      <w:formProt w:val="0"/>
      <w:docGrid w:type="linesAndChars" w:linePitch="610" w:charSpace="-34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Source Han Serif CN">
    <w:altName w:val="Segoe Print"/>
    <w:panose1 w:val="00000000000000000000"/>
    <w:charset w:val="01"/>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altName w:val="宋体"/>
    <w:panose1 w:val="00000000000000000000"/>
    <w:charset w:val="86"/>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楷体_GB2312;楷体">
    <w:altName w:val="楷体_GB2312"/>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方正小标宋简体;方正舒体">
    <w:altName w:val="宋体"/>
    <w:panose1 w:val="00000000000000000000"/>
    <w:charset w:val="00"/>
    <w:family w:val="auto"/>
    <w:pitch w:val="default"/>
    <w:sig w:usb0="00000000" w:usb1="00000000" w:usb2="00000000" w:usb3="00000000" w:csb0="00000000" w:csb1="00000000"/>
  </w:font>
  <w:font w:name="Segoe UI Symbol">
    <w:panose1 w:val="020B0502040204020203"/>
    <w:charset w:val="00"/>
    <w:family w:val="auto"/>
    <w:pitch w:val="default"/>
    <w:sig w:usb0="8000006F" w:usb1="1200FBEF" w:usb2="0064C000" w:usb3="00000002" w:csb0="00000001" w:csb1="4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Segoe Print">
    <w:panose1 w:val="02000600000000000000"/>
    <w:charset w:val="01"/>
    <w:family w:val="roman"/>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pPr>
    <w:r>
      <mc:AlternateContent>
        <mc:Choice Requires="wps">
          <w:drawing>
            <wp:anchor distT="0" distB="0" distL="114935" distR="0" simplePos="0" relativeHeight="1024" behindDoc="1" locked="0" layoutInCell="0" allowOverlap="1">
              <wp:simplePos x="0" y="0"/>
              <wp:positionH relativeFrom="margin">
                <wp:align>right</wp:align>
              </wp:positionH>
              <wp:positionV relativeFrom="paragraph">
                <wp:posOffset>635</wp:posOffset>
              </wp:positionV>
              <wp:extent cx="663575" cy="356870"/>
              <wp:effectExtent l="0" t="0" r="0" b="0"/>
              <wp:wrapNone/>
              <wp:docPr id="1" name="Frame1"/>
              <wp:cNvGraphicFramePr/>
              <a:graphic xmlns:a="http://schemas.openxmlformats.org/drawingml/2006/main">
                <a:graphicData uri="http://schemas.microsoft.com/office/word/2010/wordprocessingShape">
                  <wps:wsp>
                    <wps:cNvSpPr txBox="1"/>
                    <wps:spPr>
                      <a:xfrm>
                        <a:off x="0" y="0"/>
                        <a:ext cx="663575" cy="356870"/>
                      </a:xfrm>
                      <a:prstGeom prst="rect">
                        <a:avLst/>
                      </a:prstGeom>
                      <a:solidFill>
                        <a:srgbClr val="FFFFFF">
                          <a:alpha val="0"/>
                        </a:srgbClr>
                      </a:solidFill>
                    </wps:spPr>
                    <wps:txbx>
                      <w:txbxContent>
                        <w:p>
                          <w:pPr>
                            <w:pStyle w:val="2"/>
                            <w:ind w:firstLine="480"/>
                          </w:pPr>
                          <w:r>
                            <w:rPr>
                              <w:sz w:val="24"/>
                              <w:szCs w:val="24"/>
                            </w:rPr>
                            <w:t>—</w:t>
                          </w:r>
                          <w:r>
                            <w:rPr>
                              <w:sz w:val="24"/>
                              <w:szCs w:val="24"/>
                            </w:rPr>
                            <w:fldChar w:fldCharType="begin"/>
                          </w:r>
                          <w:r>
                            <w:rPr>
                              <w:sz w:val="24"/>
                              <w:szCs w:val="24"/>
                            </w:rPr>
                            <w:instrText xml:space="preserve">PAGE</w:instrText>
                          </w:r>
                          <w:r>
                            <w:rPr>
                              <w:sz w:val="24"/>
                              <w:szCs w:val="24"/>
                            </w:rPr>
                            <w:fldChar w:fldCharType="separate"/>
                          </w:r>
                          <w:r>
                            <w:rPr>
                              <w:sz w:val="24"/>
                              <w:szCs w:val="24"/>
                            </w:rPr>
                            <w:t>6</w:t>
                          </w:r>
                          <w:r>
                            <w:rPr>
                              <w:sz w:val="24"/>
                              <w:szCs w:val="24"/>
                            </w:rPr>
                            <w:fldChar w:fldCharType="end"/>
                          </w:r>
                          <w:r>
                            <w:rPr>
                              <w:sz w:val="24"/>
                              <w:szCs w:val="24"/>
                            </w:rPr>
                            <w:t>—</w:t>
                          </w:r>
                        </w:p>
                      </w:txbxContent>
                    </wps:txbx>
                    <wps:bodyPr lIns="635" tIns="635" rIns="635" bIns="635" anchor="t">
                      <a:spAutoFit/>
                    </wps:bodyPr>
                  </wps:wsp>
                </a:graphicData>
              </a:graphic>
            </wp:anchor>
          </w:drawing>
        </mc:Choice>
        <mc:Fallback>
          <w:pict>
            <v:shape id="Frame1" o:spid="_x0000_s1026" o:spt="202" type="#_x0000_t202" style="position:absolute;left:0pt;margin-top:0.05pt;height:28.1pt;width:52.25pt;mso-position-horizontal:right;mso-position-horizontal-relative:margin;z-index:-503315456;mso-width-relative:page;mso-height-relative:page;" fillcolor="#FFFFFF" filled="t" stroked="f" coordsize="21600,21600" o:allowincell="f" o:gfxdata="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e+OG9MAAAAE&#10;AQAADwAAAAAAAAABACAAAAAiAAAAZHJzL2Rvd25yZXYueG1sUEsBAhQAFAAAAAgAh07iQMkGWuSv&#10;AQAAbQMAAA4AAAAAAAAAAQAgAAAAIgEAAGRycy9lMm9Eb2MueG1sUEsFBgAAAAAGAAYAWQEAAEMF&#10;AAAAAA==&#10;">
              <v:fill on="t" opacity="0f" focussize="0,0"/>
              <v:stroke on="f"/>
              <v:imagedata o:title=""/>
              <o:lock v:ext="edit" aspectratio="f"/>
              <v:textbox inset="0.05pt,0.05pt,0.05pt,0.05pt" style="mso-fit-shape-to-text:t;">
                <w:txbxContent>
                  <w:p>
                    <w:pPr>
                      <w:pStyle w:val="2"/>
                      <w:ind w:firstLine="480"/>
                    </w:pPr>
                    <w:r>
                      <w:rPr>
                        <w:sz w:val="24"/>
                        <w:szCs w:val="24"/>
                      </w:rPr>
                      <w:t>—</w:t>
                    </w:r>
                    <w:r>
                      <w:rPr>
                        <w:sz w:val="24"/>
                        <w:szCs w:val="24"/>
                      </w:rPr>
                      <w:fldChar w:fldCharType="begin"/>
                    </w:r>
                    <w:r>
                      <w:rPr>
                        <w:sz w:val="24"/>
                        <w:szCs w:val="24"/>
                      </w:rPr>
                      <w:instrText xml:space="preserve">PAGE</w:instrText>
                    </w:r>
                    <w:r>
                      <w:rPr>
                        <w:sz w:val="24"/>
                        <w:szCs w:val="24"/>
                      </w:rPr>
                      <w:fldChar w:fldCharType="separate"/>
                    </w:r>
                    <w:r>
                      <w:rPr>
                        <w:sz w:val="24"/>
                        <w:szCs w:val="24"/>
                      </w:rPr>
                      <w:t>6</w:t>
                    </w:r>
                    <w:r>
                      <w:rPr>
                        <w:sz w:val="24"/>
                        <w:szCs w:val="24"/>
                      </w:rPr>
                      <w:fldChar w:fldCharType="end"/>
                    </w:r>
                    <w:r>
                      <w:rPr>
                        <w:sz w:val="24"/>
                        <w:szCs w:val="24"/>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pPr>
    <w:r>
      <mc:AlternateContent>
        <mc:Choice Requires="wps">
          <w:drawing>
            <wp:anchor distT="0" distB="0" distL="114935" distR="0" simplePos="0" relativeHeight="1024" behindDoc="1" locked="0" layoutInCell="0" allowOverlap="1">
              <wp:simplePos x="0" y="0"/>
              <wp:positionH relativeFrom="margin">
                <wp:align>right</wp:align>
              </wp:positionH>
              <wp:positionV relativeFrom="paragraph">
                <wp:posOffset>635</wp:posOffset>
              </wp:positionV>
              <wp:extent cx="735330" cy="356870"/>
              <wp:effectExtent l="0" t="0" r="0" b="0"/>
              <wp:wrapNone/>
              <wp:docPr id="2" name="Frame3"/>
              <wp:cNvGraphicFramePr/>
              <a:graphic xmlns:a="http://schemas.openxmlformats.org/drawingml/2006/main">
                <a:graphicData uri="http://schemas.microsoft.com/office/word/2010/wordprocessingShape">
                  <wps:wsp>
                    <wps:cNvSpPr txBox="1"/>
                    <wps:spPr>
                      <a:xfrm>
                        <a:off x="0" y="0"/>
                        <a:ext cx="735330" cy="356870"/>
                      </a:xfrm>
                      <a:prstGeom prst="rect">
                        <a:avLst/>
                      </a:prstGeom>
                      <a:solidFill>
                        <a:srgbClr val="FFFFFF">
                          <a:alpha val="0"/>
                        </a:srgbClr>
                      </a:solidFill>
                    </wps:spPr>
                    <wps:txbx>
                      <w:txbxContent>
                        <w:p>
                          <w:pPr>
                            <w:pStyle w:val="2"/>
                            <w:ind w:firstLine="480"/>
                          </w:pPr>
                          <w:r>
                            <w:rPr>
                              <w:sz w:val="24"/>
                              <w:szCs w:val="24"/>
                            </w:rPr>
                            <w:t>—</w:t>
                          </w:r>
                          <w:r>
                            <w:rPr>
                              <w:sz w:val="24"/>
                              <w:szCs w:val="24"/>
                            </w:rPr>
                            <w:fldChar w:fldCharType="begin"/>
                          </w:r>
                          <w:r>
                            <w:rPr>
                              <w:sz w:val="24"/>
                              <w:szCs w:val="24"/>
                            </w:rPr>
                            <w:instrText xml:space="preserve">PAGE</w:instrText>
                          </w:r>
                          <w:r>
                            <w:rPr>
                              <w:sz w:val="24"/>
                              <w:szCs w:val="24"/>
                            </w:rPr>
                            <w:fldChar w:fldCharType="separate"/>
                          </w:r>
                          <w:r>
                            <w:rPr>
                              <w:sz w:val="24"/>
                              <w:szCs w:val="24"/>
                            </w:rPr>
                            <w:t>21</w:t>
                          </w:r>
                          <w:r>
                            <w:rPr>
                              <w:sz w:val="24"/>
                              <w:szCs w:val="24"/>
                            </w:rPr>
                            <w:fldChar w:fldCharType="end"/>
                          </w:r>
                          <w:r>
                            <w:rPr>
                              <w:sz w:val="24"/>
                              <w:szCs w:val="24"/>
                            </w:rPr>
                            <w:t>—</w:t>
                          </w:r>
                        </w:p>
                      </w:txbxContent>
                    </wps:txbx>
                    <wps:bodyPr lIns="635" tIns="635" rIns="635" bIns="635" anchor="t">
                      <a:spAutoFit/>
                    </wps:bodyPr>
                  </wps:wsp>
                </a:graphicData>
              </a:graphic>
            </wp:anchor>
          </w:drawing>
        </mc:Choice>
        <mc:Fallback>
          <w:pict>
            <v:shape id="Frame3" o:spid="_x0000_s1026" o:spt="202" type="#_x0000_t202" style="position:absolute;left:0pt;margin-top:0.05pt;height:28.1pt;width:57.9pt;mso-position-horizontal:right;mso-position-horizontal-relative:margin;z-index:-503315456;mso-width-relative:page;mso-height-relative:page;" fillcolor="#FFFFFF" filled="t" stroked="f" coordsize="21600,21600" o:allowincell="f" o:gfxdata="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ybXO00wAA&#10;AAQBAAAPAAAAAAAAAAEAIAAAACIAAABkcnMvZG93bnJldi54bWxQSwECFAAUAAAACACHTuJA9vC8&#10;+LEBAABtAwAADgAAAAAAAAABACAAAAAiAQAAZHJzL2Uyb0RvYy54bWxQSwUGAAAAAAYABgBZAQAA&#10;RQUAAAAA&#10;">
              <v:fill on="t" opacity="0f" focussize="0,0"/>
              <v:stroke on="f"/>
              <v:imagedata o:title=""/>
              <o:lock v:ext="edit" aspectratio="f"/>
              <v:textbox inset="0.05pt,0.05pt,0.05pt,0.05pt" style="mso-fit-shape-to-text:t;">
                <w:txbxContent>
                  <w:p>
                    <w:pPr>
                      <w:pStyle w:val="2"/>
                      <w:ind w:firstLine="480"/>
                    </w:pPr>
                    <w:r>
                      <w:rPr>
                        <w:sz w:val="24"/>
                        <w:szCs w:val="24"/>
                      </w:rPr>
                      <w:t>—</w:t>
                    </w:r>
                    <w:r>
                      <w:rPr>
                        <w:sz w:val="24"/>
                        <w:szCs w:val="24"/>
                      </w:rPr>
                      <w:fldChar w:fldCharType="begin"/>
                    </w:r>
                    <w:r>
                      <w:rPr>
                        <w:sz w:val="24"/>
                        <w:szCs w:val="24"/>
                      </w:rPr>
                      <w:instrText xml:space="preserve">PAGE</w:instrText>
                    </w:r>
                    <w:r>
                      <w:rPr>
                        <w:sz w:val="24"/>
                        <w:szCs w:val="24"/>
                      </w:rPr>
                      <w:fldChar w:fldCharType="separate"/>
                    </w:r>
                    <w:r>
                      <w:rPr>
                        <w:sz w:val="24"/>
                        <w:szCs w:val="24"/>
                      </w:rPr>
                      <w:t>21</w:t>
                    </w:r>
                    <w:r>
                      <w:rPr>
                        <w:sz w:val="24"/>
                        <w:szCs w:val="24"/>
                      </w:rPr>
                      <w:fldChar w:fldCharType="end"/>
                    </w:r>
                    <w:r>
                      <w:rPr>
                        <w:sz w:val="24"/>
                        <w:szCs w:val="24"/>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pPr>
    <w:r>
      <mc:AlternateContent>
        <mc:Choice Requires="wps">
          <w:drawing>
            <wp:anchor distT="0" distB="0" distL="114935" distR="0" simplePos="0" relativeHeight="1024" behindDoc="1" locked="0" layoutInCell="0" allowOverlap="1">
              <wp:simplePos x="0" y="0"/>
              <wp:positionH relativeFrom="margin">
                <wp:align>right</wp:align>
              </wp:positionH>
              <wp:positionV relativeFrom="paragraph">
                <wp:posOffset>635</wp:posOffset>
              </wp:positionV>
              <wp:extent cx="748030" cy="356870"/>
              <wp:effectExtent l="0" t="0" r="0" b="0"/>
              <wp:wrapNone/>
              <wp:docPr id="3" name="Frame4"/>
              <wp:cNvGraphicFramePr/>
              <a:graphic xmlns:a="http://schemas.openxmlformats.org/drawingml/2006/main">
                <a:graphicData uri="http://schemas.microsoft.com/office/word/2010/wordprocessingShape">
                  <wps:wsp>
                    <wps:cNvSpPr txBox="1"/>
                    <wps:spPr>
                      <a:xfrm>
                        <a:off x="0" y="0"/>
                        <a:ext cx="748030" cy="356870"/>
                      </a:xfrm>
                      <a:prstGeom prst="rect">
                        <a:avLst/>
                      </a:prstGeom>
                      <a:solidFill>
                        <a:srgbClr val="FFFFFF">
                          <a:alpha val="0"/>
                        </a:srgbClr>
                      </a:solidFill>
                    </wps:spPr>
                    <wps:txbx>
                      <w:txbxContent>
                        <w:p>
                          <w:pPr>
                            <w:pStyle w:val="2"/>
                            <w:ind w:firstLine="480"/>
                          </w:pPr>
                          <w:r>
                            <w:rPr>
                              <w:sz w:val="24"/>
                              <w:szCs w:val="24"/>
                            </w:rPr>
                            <w:t>—</w:t>
                          </w:r>
                          <w:r>
                            <w:rPr>
                              <w:sz w:val="24"/>
                              <w:szCs w:val="24"/>
                            </w:rPr>
                            <w:fldChar w:fldCharType="begin"/>
                          </w:r>
                          <w:r>
                            <w:rPr>
                              <w:sz w:val="24"/>
                              <w:szCs w:val="24"/>
                            </w:rPr>
                            <w:instrText xml:space="preserve">PAGE</w:instrText>
                          </w:r>
                          <w:r>
                            <w:rPr>
                              <w:sz w:val="24"/>
                              <w:szCs w:val="24"/>
                            </w:rPr>
                            <w:fldChar w:fldCharType="separate"/>
                          </w:r>
                          <w:r>
                            <w:rPr>
                              <w:sz w:val="24"/>
                              <w:szCs w:val="24"/>
                            </w:rPr>
                            <w:t>40</w:t>
                          </w:r>
                          <w:r>
                            <w:rPr>
                              <w:sz w:val="24"/>
                              <w:szCs w:val="24"/>
                            </w:rPr>
                            <w:fldChar w:fldCharType="end"/>
                          </w:r>
                          <w:r>
                            <w:rPr>
                              <w:sz w:val="24"/>
                              <w:szCs w:val="24"/>
                            </w:rPr>
                            <w:t>—</w:t>
                          </w:r>
                        </w:p>
                      </w:txbxContent>
                    </wps:txbx>
                    <wps:bodyPr lIns="635" tIns="635" rIns="635" bIns="635" anchor="t">
                      <a:spAutoFit/>
                    </wps:bodyPr>
                  </wps:wsp>
                </a:graphicData>
              </a:graphic>
            </wp:anchor>
          </w:drawing>
        </mc:Choice>
        <mc:Fallback>
          <w:pict>
            <v:shape id="Frame4" o:spid="_x0000_s1026" o:spt="202" type="#_x0000_t202" style="position:absolute;left:0pt;margin-top:0.05pt;height:28.1pt;width:58.9pt;mso-position-horizontal:right;mso-position-horizontal-relative:margin;z-index:-503315456;mso-width-relative:page;mso-height-relative:page;" fillcolor="#FFFFFF" filled="t" stroked="f" coordsize="21600,21600" o:allowincell="f" o:gfxdata="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Ilxi30wAA&#10;AAQBAAAPAAAAAAAAAAEAIAAAACIAAABkcnMvZG93bnJldi54bWxQSwECFAAUAAAACACHTuJAjDey&#10;ULEBAABtAwAADgAAAAAAAAABACAAAAAiAQAAZHJzL2Uyb0RvYy54bWxQSwUGAAAAAAYABgBZAQAA&#10;RQUAAAAA&#10;">
              <v:fill on="t" opacity="0f" focussize="0,0"/>
              <v:stroke on="f"/>
              <v:imagedata o:title=""/>
              <o:lock v:ext="edit" aspectratio="f"/>
              <v:textbox inset="0.05pt,0.05pt,0.05pt,0.05pt" style="mso-fit-shape-to-text:t;">
                <w:txbxContent>
                  <w:p>
                    <w:pPr>
                      <w:pStyle w:val="2"/>
                      <w:ind w:firstLine="480"/>
                    </w:pPr>
                    <w:r>
                      <w:rPr>
                        <w:sz w:val="24"/>
                        <w:szCs w:val="24"/>
                      </w:rPr>
                      <w:t>—</w:t>
                    </w:r>
                    <w:r>
                      <w:rPr>
                        <w:sz w:val="24"/>
                        <w:szCs w:val="24"/>
                      </w:rPr>
                      <w:fldChar w:fldCharType="begin"/>
                    </w:r>
                    <w:r>
                      <w:rPr>
                        <w:sz w:val="24"/>
                        <w:szCs w:val="24"/>
                      </w:rPr>
                      <w:instrText xml:space="preserve">PAGE</w:instrText>
                    </w:r>
                    <w:r>
                      <w:rPr>
                        <w:sz w:val="24"/>
                        <w:szCs w:val="24"/>
                      </w:rPr>
                      <w:fldChar w:fldCharType="separate"/>
                    </w:r>
                    <w:r>
                      <w:rPr>
                        <w:sz w:val="24"/>
                        <w:szCs w:val="24"/>
                      </w:rPr>
                      <w:t>40</w:t>
                    </w:r>
                    <w:r>
                      <w:rPr>
                        <w:sz w:val="24"/>
                        <w:szCs w:val="24"/>
                      </w:rPr>
                      <w:fldChar w:fldCharType="end"/>
                    </w:r>
                    <w:r>
                      <w:rPr>
                        <w:sz w:val="24"/>
                        <w:szCs w:val="24"/>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pPr>
    <w:r>
      <mc:AlternateContent>
        <mc:Choice Requires="wps">
          <w:drawing>
            <wp:anchor distT="0" distB="0" distL="114935" distR="0" simplePos="0" relativeHeight="1024" behindDoc="1" locked="0" layoutInCell="0" allowOverlap="1">
              <wp:simplePos x="0" y="0"/>
              <wp:positionH relativeFrom="margin">
                <wp:align>right</wp:align>
              </wp:positionH>
              <wp:positionV relativeFrom="paragraph">
                <wp:posOffset>635</wp:posOffset>
              </wp:positionV>
              <wp:extent cx="748030" cy="356870"/>
              <wp:effectExtent l="0" t="0" r="0" b="0"/>
              <wp:wrapNone/>
              <wp:docPr id="4" name="Frame5"/>
              <wp:cNvGraphicFramePr/>
              <a:graphic xmlns:a="http://schemas.openxmlformats.org/drawingml/2006/main">
                <a:graphicData uri="http://schemas.microsoft.com/office/word/2010/wordprocessingShape">
                  <wps:wsp>
                    <wps:cNvSpPr txBox="1"/>
                    <wps:spPr>
                      <a:xfrm>
                        <a:off x="0" y="0"/>
                        <a:ext cx="748030" cy="356870"/>
                      </a:xfrm>
                      <a:prstGeom prst="rect">
                        <a:avLst/>
                      </a:prstGeom>
                      <a:solidFill>
                        <a:srgbClr val="FFFFFF">
                          <a:alpha val="0"/>
                        </a:srgbClr>
                      </a:solidFill>
                    </wps:spPr>
                    <wps:txbx>
                      <w:txbxContent>
                        <w:p>
                          <w:pPr>
                            <w:pStyle w:val="2"/>
                            <w:ind w:firstLine="480"/>
                          </w:pPr>
                          <w:r>
                            <w:rPr>
                              <w:sz w:val="24"/>
                              <w:szCs w:val="24"/>
                            </w:rPr>
                            <w:t>—</w:t>
                          </w:r>
                          <w:r>
                            <w:rPr>
                              <w:sz w:val="24"/>
                              <w:szCs w:val="24"/>
                            </w:rPr>
                            <w:fldChar w:fldCharType="begin"/>
                          </w:r>
                          <w:r>
                            <w:rPr>
                              <w:sz w:val="24"/>
                              <w:szCs w:val="24"/>
                            </w:rPr>
                            <w:instrText xml:space="preserve">PAGE</w:instrText>
                          </w:r>
                          <w:r>
                            <w:rPr>
                              <w:sz w:val="24"/>
                              <w:szCs w:val="24"/>
                            </w:rPr>
                            <w:fldChar w:fldCharType="separate"/>
                          </w:r>
                          <w:r>
                            <w:rPr>
                              <w:sz w:val="24"/>
                              <w:szCs w:val="24"/>
                            </w:rPr>
                            <w:t>46</w:t>
                          </w:r>
                          <w:r>
                            <w:rPr>
                              <w:sz w:val="24"/>
                              <w:szCs w:val="24"/>
                            </w:rPr>
                            <w:fldChar w:fldCharType="end"/>
                          </w:r>
                          <w:r>
                            <w:rPr>
                              <w:sz w:val="24"/>
                              <w:szCs w:val="24"/>
                            </w:rPr>
                            <w:t>—</w:t>
                          </w:r>
                        </w:p>
                      </w:txbxContent>
                    </wps:txbx>
                    <wps:bodyPr lIns="635" tIns="635" rIns="635" bIns="635" anchor="t">
                      <a:spAutoFit/>
                    </wps:bodyPr>
                  </wps:wsp>
                </a:graphicData>
              </a:graphic>
            </wp:anchor>
          </w:drawing>
        </mc:Choice>
        <mc:Fallback>
          <w:pict>
            <v:shape id="Frame5" o:spid="_x0000_s1026" o:spt="202" type="#_x0000_t202" style="position:absolute;left:0pt;margin-top:0.05pt;height:28.1pt;width:58.9pt;mso-position-horizontal:right;mso-position-horizontal-relative:margin;z-index:-503315456;mso-width-relative:page;mso-height-relative:page;" fillcolor="#FFFFFF" filled="t" stroked="f" coordsize="21600,21600" o:allowincell="f" o:gfxdata="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Ilxi30wAA&#10;AAQBAAAPAAAAAAAAAAEAIAAAACIAAABkcnMvZG93bnJldi54bWxQSwECFAAUAAAACACHTuJAMKdX&#10;ybEBAABtAwAADgAAAAAAAAABACAAAAAiAQAAZHJzL2Uyb0RvYy54bWxQSwUGAAAAAAYABgBZAQAA&#10;RQUAAAAA&#10;">
              <v:fill on="t" opacity="0f" focussize="0,0"/>
              <v:stroke on="f"/>
              <v:imagedata o:title=""/>
              <o:lock v:ext="edit" aspectratio="f"/>
              <v:textbox inset="0.05pt,0.05pt,0.05pt,0.05pt" style="mso-fit-shape-to-text:t;">
                <w:txbxContent>
                  <w:p>
                    <w:pPr>
                      <w:pStyle w:val="2"/>
                      <w:ind w:firstLine="480"/>
                    </w:pPr>
                    <w:r>
                      <w:rPr>
                        <w:sz w:val="24"/>
                        <w:szCs w:val="24"/>
                      </w:rPr>
                      <w:t>—</w:t>
                    </w:r>
                    <w:r>
                      <w:rPr>
                        <w:sz w:val="24"/>
                        <w:szCs w:val="24"/>
                      </w:rPr>
                      <w:fldChar w:fldCharType="begin"/>
                    </w:r>
                    <w:r>
                      <w:rPr>
                        <w:sz w:val="24"/>
                        <w:szCs w:val="24"/>
                      </w:rPr>
                      <w:instrText xml:space="preserve">PAGE</w:instrText>
                    </w:r>
                    <w:r>
                      <w:rPr>
                        <w:sz w:val="24"/>
                        <w:szCs w:val="24"/>
                      </w:rPr>
                      <w:fldChar w:fldCharType="separate"/>
                    </w:r>
                    <w:r>
                      <w:rPr>
                        <w:sz w:val="24"/>
                        <w:szCs w:val="24"/>
                      </w:rPr>
                      <w:t>46</w:t>
                    </w:r>
                    <w:r>
                      <w:rPr>
                        <w:sz w:val="24"/>
                        <w:szCs w:val="24"/>
                      </w:rPr>
                      <w:fldChar w:fldCharType="end"/>
                    </w:r>
                    <w:r>
                      <w:rPr>
                        <w:sz w:val="24"/>
                        <w:szCs w:val="24"/>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pPr>
    <w:r>
      <mc:AlternateContent>
        <mc:Choice Requires="wps">
          <w:drawing>
            <wp:anchor distT="0" distB="0" distL="114935" distR="0" simplePos="0" relativeHeight="1024" behindDoc="1" locked="0" layoutInCell="0" allowOverlap="1">
              <wp:simplePos x="0" y="0"/>
              <wp:positionH relativeFrom="margin">
                <wp:align>right</wp:align>
              </wp:positionH>
              <wp:positionV relativeFrom="paragraph">
                <wp:posOffset>635</wp:posOffset>
              </wp:positionV>
              <wp:extent cx="748665" cy="356870"/>
              <wp:effectExtent l="0" t="0" r="0" b="0"/>
              <wp:wrapNone/>
              <wp:docPr id="10" name="Frame2"/>
              <wp:cNvGraphicFramePr/>
              <a:graphic xmlns:a="http://schemas.openxmlformats.org/drawingml/2006/main">
                <a:graphicData uri="http://schemas.microsoft.com/office/word/2010/wordprocessingShape">
                  <wps:wsp>
                    <wps:cNvSpPr txBox="1"/>
                    <wps:spPr>
                      <a:xfrm>
                        <a:off x="0" y="0"/>
                        <a:ext cx="748665" cy="356870"/>
                      </a:xfrm>
                      <a:prstGeom prst="rect">
                        <a:avLst/>
                      </a:prstGeom>
                      <a:solidFill>
                        <a:srgbClr val="FFFFFF">
                          <a:alpha val="0"/>
                        </a:srgbClr>
                      </a:solidFill>
                    </wps:spPr>
                    <wps:txbx>
                      <w:txbxContent>
                        <w:p>
                          <w:pPr>
                            <w:pStyle w:val="2"/>
                            <w:ind w:firstLine="480"/>
                          </w:pPr>
                          <w:r>
                            <w:rPr>
                              <w:sz w:val="24"/>
                              <w:szCs w:val="24"/>
                            </w:rPr>
                            <w:t>—</w:t>
                          </w:r>
                          <w:r>
                            <w:rPr>
                              <w:sz w:val="24"/>
                              <w:szCs w:val="24"/>
                            </w:rPr>
                            <w:fldChar w:fldCharType="begin"/>
                          </w:r>
                          <w:r>
                            <w:rPr>
                              <w:sz w:val="24"/>
                              <w:szCs w:val="24"/>
                            </w:rPr>
                            <w:instrText xml:space="preserve">PAGE</w:instrText>
                          </w:r>
                          <w:r>
                            <w:rPr>
                              <w:sz w:val="24"/>
                              <w:szCs w:val="24"/>
                            </w:rPr>
                            <w:fldChar w:fldCharType="separate"/>
                          </w:r>
                          <w:r>
                            <w:rPr>
                              <w:sz w:val="24"/>
                              <w:szCs w:val="24"/>
                            </w:rPr>
                            <w:t>62</w:t>
                          </w:r>
                          <w:r>
                            <w:rPr>
                              <w:sz w:val="24"/>
                              <w:szCs w:val="24"/>
                            </w:rPr>
                            <w:fldChar w:fldCharType="end"/>
                          </w:r>
                          <w:r>
                            <w:rPr>
                              <w:sz w:val="24"/>
                              <w:szCs w:val="24"/>
                            </w:rPr>
                            <w:t>—</w:t>
                          </w:r>
                        </w:p>
                      </w:txbxContent>
                    </wps:txbx>
                    <wps:bodyPr lIns="635" tIns="635" rIns="635" bIns="635" anchor="t">
                      <a:spAutoFit/>
                    </wps:bodyPr>
                  </wps:wsp>
                </a:graphicData>
              </a:graphic>
            </wp:anchor>
          </w:drawing>
        </mc:Choice>
        <mc:Fallback>
          <w:pict>
            <v:shape id="Frame2" o:spid="_x0000_s1026" o:spt="202" type="#_x0000_t202" style="position:absolute;left:0pt;margin-top:0.05pt;height:28.1pt;width:58.95pt;mso-position-horizontal:right;mso-position-horizontal-relative:margin;z-index:-503315456;mso-width-relative:page;mso-height-relative:page;" fillcolor="#FFFFFF" filled="t" stroked="f" coordsize="21600,21600" o:allowincell="f" o:gfxdata="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mMlNnTAAAA&#10;BAEAAA8AAAAAAAAAAQAgAAAAIgAAAGRycy9kb3ducmV2LnhtbFBLAQIUABQAAAAIAIdO4kBBHmgr&#10;sAEAAG4DAAAOAAAAAAAAAAEAIAAAACIBAABkcnMvZTJvRG9jLnhtbFBLBQYAAAAABgAGAFkBAABE&#10;BQAAAAA=&#10;">
              <v:fill on="t" opacity="0f" focussize="0,0"/>
              <v:stroke on="f"/>
              <v:imagedata o:title=""/>
              <o:lock v:ext="edit" aspectratio="f"/>
              <v:textbox inset="0.05pt,0.05pt,0.05pt,0.05pt" style="mso-fit-shape-to-text:t;">
                <w:txbxContent>
                  <w:p>
                    <w:pPr>
                      <w:pStyle w:val="2"/>
                      <w:ind w:firstLine="480"/>
                    </w:pPr>
                    <w:r>
                      <w:rPr>
                        <w:sz w:val="24"/>
                        <w:szCs w:val="24"/>
                      </w:rPr>
                      <w:t>—</w:t>
                    </w:r>
                    <w:r>
                      <w:rPr>
                        <w:sz w:val="24"/>
                        <w:szCs w:val="24"/>
                      </w:rPr>
                      <w:fldChar w:fldCharType="begin"/>
                    </w:r>
                    <w:r>
                      <w:rPr>
                        <w:sz w:val="24"/>
                        <w:szCs w:val="24"/>
                      </w:rPr>
                      <w:instrText xml:space="preserve">PAGE</w:instrText>
                    </w:r>
                    <w:r>
                      <w:rPr>
                        <w:sz w:val="24"/>
                        <w:szCs w:val="24"/>
                      </w:rPr>
                      <w:fldChar w:fldCharType="separate"/>
                    </w:r>
                    <w:r>
                      <w:rPr>
                        <w:sz w:val="24"/>
                        <w:szCs w:val="24"/>
                      </w:rPr>
                      <w:t>62</w:t>
                    </w:r>
                    <w:r>
                      <w:rPr>
                        <w:sz w:val="24"/>
                        <w:szCs w:val="24"/>
                      </w:rPr>
                      <w:fldChar w:fldCharType="end"/>
                    </w:r>
                    <w:r>
                      <w:rPr>
                        <w:sz w:val="24"/>
                        <w:szCs w:val="24"/>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jc w:val="right"/>
      <w:rPr>
        <w:rFonts w:ascii="仿宋" w:hAnsi="仿宋" w:cs="仿宋"/>
        <w:kern w:val="0"/>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right"/>
      <w:rPr>
        <w:rFonts w:cs="仿宋"/>
        <w:kern w:val="0"/>
        <w:szCs w:val="21"/>
      </w:rPr>
    </w:pPr>
    <w:r>
      <w:rPr>
        <w:rFonts w:cs="仿宋"/>
        <w:kern w:val="0"/>
        <w:szCs w:val="21"/>
      </w:rPr>
      <w:t>应急救援中心建设项目绩效评价报告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right"/>
      <w:rPr>
        <w:rFonts w:cs="仿宋"/>
        <w:kern w:val="0"/>
        <w:szCs w:val="21"/>
      </w:rPr>
    </w:pPr>
    <w:r>
      <w:rPr>
        <w:rFonts w:cs="仿宋"/>
        <w:kern w:val="0"/>
        <w:szCs w:val="21"/>
      </w:rPr>
      <w:t>应急救援中心建设项目绩效评价报告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right"/>
      <w:rPr>
        <w:rFonts w:cs="仿宋"/>
        <w:kern w:val="0"/>
        <w:szCs w:val="21"/>
      </w:rPr>
    </w:pPr>
    <w:r>
      <w:rPr>
        <w:rFonts w:cs="仿宋"/>
        <w:kern w:val="0"/>
        <w:szCs w:val="21"/>
      </w:rPr>
      <w:t>应急救援中心建设项目绩效评价报告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right"/>
      <w:rPr>
        <w:rFonts w:cs="仿宋"/>
        <w:kern w:val="0"/>
        <w:szCs w:val="21"/>
      </w:rPr>
    </w:pPr>
    <w:r>
      <w:rPr>
        <w:rFonts w:cs="仿宋"/>
        <w:kern w:val="0"/>
        <w:szCs w:val="21"/>
      </w:rPr>
      <w:t>应急救援中心建设项目绩效评价报告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right"/>
      <w:rPr>
        <w:rFonts w:cs="仿宋"/>
        <w:kern w:val="0"/>
        <w:szCs w:val="21"/>
      </w:rPr>
    </w:pPr>
    <w:r>
      <w:rPr>
        <w:rFonts w:cs="仿宋"/>
        <w:kern w:val="0"/>
        <w:szCs w:val="21"/>
      </w:rPr>
      <w:t>应急救援中心建设项目绩效评价报告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EA3FA1"/>
    <w:multiLevelType w:val="multilevel"/>
    <w:tmpl w:val="66EA3FA1"/>
    <w:lvl w:ilvl="0" w:tentative="0">
      <w:start w:val="1"/>
      <w:numFmt w:val="none"/>
      <w:pStyle w:val="3"/>
      <w:suff w:val="nothing"/>
      <w:lvlText w:val=""/>
      <w:lvlJc w:val="left"/>
      <w:pPr>
        <w:tabs>
          <w:tab w:val="left" w:pos="0"/>
        </w:tabs>
        <w:ind w:left="0" w:firstLine="0"/>
      </w:pPr>
    </w:lvl>
    <w:lvl w:ilvl="1" w:tentative="0">
      <w:start w:val="1"/>
      <w:numFmt w:val="none"/>
      <w:pStyle w:val="4"/>
      <w:suff w:val="nothing"/>
      <w:lvlText w:val=""/>
      <w:lvlJc w:val="left"/>
      <w:pPr>
        <w:tabs>
          <w:tab w:val="left" w:pos="0"/>
        </w:tabs>
        <w:ind w:left="0" w:firstLine="0"/>
      </w:pPr>
    </w:lvl>
    <w:lvl w:ilvl="2" w:tentative="0">
      <w:start w:val="1"/>
      <w:numFmt w:val="none"/>
      <w:pStyle w:val="5"/>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
    <w:nsid w:val="66EA3FAC"/>
    <w:multiLevelType w:val="multilevel"/>
    <w:tmpl w:val="66EA3FAC"/>
    <w:lvl w:ilvl="0" w:tentative="0">
      <w:start w:val="1"/>
      <w:numFmt w:val="none"/>
      <w:pStyle w:val="53"/>
      <w:suff w:val="nothing"/>
      <w:lvlText w:val=""/>
      <w:lvlJc w:val="left"/>
      <w:pPr>
        <w:tabs>
          <w:tab w:val="left" w:pos="0"/>
        </w:tabs>
        <w:ind w:left="834" w:hanging="408"/>
      </w:pPr>
      <w:rPr>
        <w:lang w:val="en-US"/>
      </w:rPr>
    </w:lvl>
    <w:lvl w:ilvl="1" w:tentative="0">
      <w:start w:val="1"/>
      <w:numFmt w:val="bullet"/>
      <w:lvlText w:val=""/>
      <w:lvlJc w:val="left"/>
      <w:pPr>
        <w:tabs>
          <w:tab w:val="left" w:pos="0"/>
        </w:tabs>
        <w:ind w:left="1264" w:hanging="413"/>
      </w:pPr>
      <w:rPr>
        <w:rFonts w:hint="default" w:ascii="Symbol" w:hAnsi="Symbol" w:cs="Symbol"/>
        <w:color w:val="000000"/>
      </w:rPr>
    </w:lvl>
    <w:lvl w:ilvl="2" w:tentative="0">
      <w:start w:val="1"/>
      <w:numFmt w:val="bullet"/>
      <w:lvlText w:val=""/>
      <w:lvlJc w:val="left"/>
      <w:pPr>
        <w:tabs>
          <w:tab w:val="left" w:pos="0"/>
        </w:tabs>
        <w:ind w:left="1678" w:hanging="414"/>
      </w:pPr>
      <w:rPr>
        <w:rFonts w:hint="default" w:ascii="Symbol" w:hAnsi="Symbol" w:cs="Symbol"/>
        <w:color w:val="000000"/>
      </w:rPr>
    </w:lvl>
    <w:lvl w:ilvl="3" w:tentative="0">
      <w:start w:val="1"/>
      <w:numFmt w:val="decimal"/>
      <w:lvlText w:val="%4."/>
      <w:lvlJc w:val="left"/>
      <w:pPr>
        <w:tabs>
          <w:tab w:val="left" w:pos="0"/>
        </w:tabs>
        <w:ind w:left="1884" w:hanging="528"/>
      </w:pPr>
    </w:lvl>
    <w:lvl w:ilvl="4" w:tentative="0">
      <w:start w:val="1"/>
      <w:numFmt w:val="lowerLetter"/>
      <w:lvlText w:val="%5)"/>
      <w:lvlJc w:val="left"/>
      <w:pPr>
        <w:tabs>
          <w:tab w:val="left" w:pos="0"/>
        </w:tabs>
        <w:ind w:left="2196" w:hanging="528"/>
      </w:pPr>
    </w:lvl>
    <w:lvl w:ilvl="5" w:tentative="0">
      <w:start w:val="1"/>
      <w:numFmt w:val="lowerRoman"/>
      <w:lvlText w:val="%6."/>
      <w:lvlJc w:val="right"/>
      <w:pPr>
        <w:tabs>
          <w:tab w:val="left" w:pos="0"/>
        </w:tabs>
        <w:ind w:left="2508" w:hanging="528"/>
      </w:pPr>
    </w:lvl>
    <w:lvl w:ilvl="6" w:tentative="0">
      <w:start w:val="1"/>
      <w:numFmt w:val="decimal"/>
      <w:lvlText w:val="%7."/>
      <w:lvlJc w:val="left"/>
      <w:pPr>
        <w:tabs>
          <w:tab w:val="left" w:pos="0"/>
        </w:tabs>
        <w:ind w:left="2820" w:hanging="528"/>
      </w:pPr>
    </w:lvl>
    <w:lvl w:ilvl="7" w:tentative="0">
      <w:start w:val="1"/>
      <w:numFmt w:val="lowerLetter"/>
      <w:lvlText w:val="%8)"/>
      <w:lvlJc w:val="left"/>
      <w:pPr>
        <w:tabs>
          <w:tab w:val="left" w:pos="0"/>
        </w:tabs>
        <w:ind w:left="3132" w:hanging="528"/>
      </w:pPr>
    </w:lvl>
    <w:lvl w:ilvl="8" w:tentative="0">
      <w:start w:val="1"/>
      <w:numFmt w:val="lowerRoman"/>
      <w:lvlText w:val="%9."/>
      <w:lvlJc w:val="right"/>
      <w:pPr>
        <w:tabs>
          <w:tab w:val="left" w:pos="0"/>
        </w:tabs>
        <w:ind w:left="3444" w:hanging="528"/>
      </w:pPr>
    </w:lvl>
  </w:abstractNum>
  <w:abstractNum w:abstractNumId="2">
    <w:nsid w:val="66EA3FB7"/>
    <w:multiLevelType w:val="multilevel"/>
    <w:tmpl w:val="66EA3FB7"/>
    <w:lvl w:ilvl="0" w:tentative="0">
      <w:start w:val="1"/>
      <w:numFmt w:val="decimal"/>
      <w:pStyle w:val="57"/>
      <w:suff w:val="nothing"/>
      <w:lvlText w:val="%1　"/>
      <w:lvlJc w:val="left"/>
      <w:pPr>
        <w:tabs>
          <w:tab w:val="left" w:pos="0"/>
        </w:tabs>
        <w:ind w:left="0" w:firstLine="0"/>
      </w:pPr>
      <w:rPr>
        <w:rFonts w:ascii="黑体" w:hAnsi="黑体" w:eastAsia="黑体" w:cs="Times New Roman"/>
        <w:b w:val="0"/>
        <w:i w:val="0"/>
        <w:sz w:val="30"/>
        <w:szCs w:val="21"/>
      </w:rPr>
    </w:lvl>
    <w:lvl w:ilvl="1" w:tentative="0">
      <w:start w:val="1"/>
      <w:numFmt w:val="decimal"/>
      <w:suff w:val="nothing"/>
      <w:lvlText w:val="%1.%2　"/>
      <w:lvlJc w:val="left"/>
      <w:pPr>
        <w:tabs>
          <w:tab w:val="left" w:pos="0"/>
        </w:tabs>
        <w:ind w:left="0" w:firstLine="0"/>
      </w:pPr>
      <w:rPr>
        <w:rFonts w:ascii="黑体" w:hAnsi="黑体" w:eastAsia="黑体" w:cs="Times New Roman"/>
        <w:b w:val="0"/>
        <w:bCs w:val="0"/>
        <w:i w:val="0"/>
        <w:iCs w:val="0"/>
        <w:caps w:val="0"/>
        <w:smallCaps w:val="0"/>
        <w:strike w:val="0"/>
        <w:dstrike w:val="0"/>
        <w:outline w:val="0"/>
        <w:shadow w:val="0"/>
        <w:vanish w:val="0"/>
        <w:color w:val="000000"/>
        <w:spacing w:val="0"/>
        <w:kern w:val="0"/>
        <w:position w:val="0"/>
        <w:sz w:val="30"/>
        <w:szCs w:val="21"/>
        <w:u w:val="none"/>
        <w:vertAlign w:val="baseline"/>
      </w:rPr>
    </w:lvl>
    <w:lvl w:ilvl="2" w:tentative="0">
      <w:start w:val="1"/>
      <w:numFmt w:val="decimal"/>
      <w:suff w:val="nothing"/>
      <w:lvlText w:val="%1.%2.%3　"/>
      <w:lvlJc w:val="left"/>
      <w:pPr>
        <w:tabs>
          <w:tab w:val="left" w:pos="0"/>
        </w:tabs>
        <w:ind w:left="0" w:firstLine="0"/>
      </w:pPr>
      <w:rPr>
        <w:rFonts w:ascii="黑体" w:hAnsi="黑体" w:eastAsia="黑体" w:cs="Times New Roman"/>
        <w:b w:val="0"/>
        <w:i w:val="0"/>
        <w:sz w:val="30"/>
        <w:szCs w:val="30"/>
      </w:rPr>
    </w:lvl>
    <w:lvl w:ilvl="3" w:tentative="0">
      <w:start w:val="1"/>
      <w:numFmt w:val="decimal"/>
      <w:suff w:val="nothing"/>
      <w:lvlText w:val="%1.%2.%3.%4　"/>
      <w:lvlJc w:val="left"/>
      <w:pPr>
        <w:tabs>
          <w:tab w:val="left" w:pos="0"/>
        </w:tabs>
        <w:ind w:left="2268" w:firstLine="0"/>
      </w:pPr>
      <w:rPr>
        <w:rFonts w:ascii="黑体" w:hAnsi="黑体" w:eastAsia="黑体" w:cs="Times New Roman"/>
        <w:b w:val="0"/>
        <w:i w:val="0"/>
        <w:sz w:val="30"/>
        <w:szCs w:val="30"/>
      </w:rPr>
    </w:lvl>
    <w:lvl w:ilvl="4" w:tentative="0">
      <w:start w:val="1"/>
      <w:numFmt w:val="decimal"/>
      <w:suff w:val="nothing"/>
      <w:lvlText w:val="%1.%2.%3.%4.%5　"/>
      <w:lvlJc w:val="left"/>
      <w:pPr>
        <w:tabs>
          <w:tab w:val="left" w:pos="0"/>
        </w:tabs>
        <w:ind w:left="0" w:firstLine="0"/>
      </w:pPr>
      <w:rPr>
        <w:rFonts w:ascii="黑体" w:hAnsi="黑体" w:eastAsia="黑体" w:cs="Times New Roman"/>
        <w:b w:val="0"/>
        <w:i w:val="0"/>
        <w:sz w:val="21"/>
      </w:rPr>
    </w:lvl>
    <w:lvl w:ilvl="5" w:tentative="0">
      <w:start w:val="1"/>
      <w:numFmt w:val="decimal"/>
      <w:suff w:val="nothing"/>
      <w:lvlText w:val="%1.%2.%3.%4.%5.%6　"/>
      <w:lvlJc w:val="left"/>
      <w:pPr>
        <w:tabs>
          <w:tab w:val="left" w:pos="0"/>
        </w:tabs>
        <w:ind w:left="0" w:firstLine="0"/>
      </w:pPr>
      <w:rPr>
        <w:rFonts w:ascii="黑体" w:hAnsi="黑体" w:eastAsia="黑体" w:cs="Times New Roman"/>
        <w:b w:val="0"/>
        <w:i w:val="0"/>
        <w:sz w:val="21"/>
      </w:rPr>
    </w:lvl>
    <w:lvl w:ilvl="6" w:tentative="0">
      <w:start w:val="1"/>
      <w:numFmt w:val="decimal"/>
      <w:suff w:val="nothing"/>
      <w:lvlText w:val="%1%2.%3.%4.%5.%6.%7　"/>
      <w:lvlJc w:val="left"/>
      <w:pPr>
        <w:tabs>
          <w:tab w:val="left" w:pos="0"/>
        </w:tabs>
        <w:ind w:left="0" w:firstLine="0"/>
      </w:pPr>
      <w:rPr>
        <w:rFonts w:ascii="黑体" w:hAnsi="黑体" w:eastAsia="黑体" w:cs="Times New Roman"/>
        <w:b w:val="0"/>
        <w:i w:val="0"/>
        <w:sz w:val="21"/>
      </w:rPr>
    </w:lvl>
    <w:lvl w:ilvl="7" w:tentative="0">
      <w:start w:val="1"/>
      <w:numFmt w:val="decimal"/>
      <w:lvlText w:val="%1.%2.%3.%4.%5.%6.%7.%8"/>
      <w:lvlJc w:val="left"/>
      <w:pPr>
        <w:tabs>
          <w:tab w:val="left" w:pos="0"/>
        </w:tabs>
        <w:ind w:left="3969" w:hanging="1418"/>
      </w:pPr>
    </w:lvl>
    <w:lvl w:ilvl="8" w:tentative="0">
      <w:start w:val="1"/>
      <w:numFmt w:val="decimal"/>
      <w:lvlText w:val="%1.%2.%3.%4.%5.%6.%7.%8.%9"/>
      <w:lvlJc w:val="left"/>
      <w:pPr>
        <w:tabs>
          <w:tab w:val="left" w:pos="0"/>
        </w:tabs>
        <w:ind w:left="4677" w:hanging="1700"/>
      </w:pPr>
    </w:lvl>
  </w:abstractNum>
  <w:abstractNum w:abstractNumId="3">
    <w:nsid w:val="66EA3FC2"/>
    <w:multiLevelType w:val="singleLevel"/>
    <w:tmpl w:val="66EA3FC2"/>
    <w:lvl w:ilvl="0" w:tentative="0">
      <w:start w:val="1"/>
      <w:numFmt w:val="decimal"/>
      <w:suff w:val="nothing"/>
      <w:lvlText w:val="（%1）"/>
      <w:lvlJc w:val="left"/>
      <w:pPr>
        <w:tabs>
          <w:tab w:val="left" w:pos="0"/>
        </w:tabs>
        <w:ind w:left="0" w:firstLine="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420"/>
  <w:autoHyphenation/>
  <w:compat>
    <w:noLeading/>
    <w:doNotExpandShiftReturn/>
    <w:useFELayout/>
    <w:compatSetting w:name="compatibilityMode" w:uri="http://schemas.microsoft.com/office/word" w:val="14"/>
  </w:compat>
  <w:rsids>
    <w:rsidRoot w:val="00000000"/>
    <w:rsid w:val="14944F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Source Han Serif CN" w:hAnsi="Source Han Serif CN" w:eastAsia="Source Han Serif CN" w:cs="Source Han Serif C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bidi w:val="0"/>
      <w:spacing w:line="560" w:lineRule="exact"/>
      <w:ind w:firstLine="688"/>
      <w:jc w:val="both"/>
    </w:pPr>
    <w:rPr>
      <w:rFonts w:ascii="Times New Roman" w:hAnsi="Times New Roman" w:eastAsia="仿宋" w:cs="Times New Roman"/>
      <w:color w:val="auto"/>
      <w:kern w:val="2"/>
      <w:sz w:val="32"/>
      <w:szCs w:val="32"/>
      <w:lang w:val="en-US" w:eastAsia="zh-CN" w:bidi="ar-SA"/>
    </w:rPr>
  </w:style>
  <w:style w:type="paragraph" w:styleId="3">
    <w:name w:val="heading 1"/>
    <w:basedOn w:val="1"/>
    <w:next w:val="1"/>
    <w:qFormat/>
    <w:uiPriority w:val="0"/>
    <w:pPr>
      <w:keepNext/>
      <w:keepLines/>
      <w:numPr>
        <w:ilvl w:val="0"/>
        <w:numId w:val="1"/>
      </w:numPr>
      <w:spacing w:before="340" w:after="330" w:line="576" w:lineRule="auto"/>
      <w:outlineLvl w:val="0"/>
    </w:pPr>
    <w:rPr>
      <w:b/>
      <w:kern w:val="2"/>
      <w:sz w:val="44"/>
    </w:rPr>
  </w:style>
  <w:style w:type="paragraph" w:styleId="4">
    <w:name w:val="heading 2"/>
    <w:basedOn w:val="1"/>
    <w:next w:val="1"/>
    <w:qFormat/>
    <w:uiPriority w:val="0"/>
    <w:pPr>
      <w:keepNext/>
      <w:keepLines/>
      <w:numPr>
        <w:ilvl w:val="1"/>
        <w:numId w:val="1"/>
      </w:numPr>
      <w:spacing w:before="260" w:after="260" w:line="415" w:lineRule="auto"/>
      <w:outlineLvl w:val="1"/>
    </w:pPr>
    <w:rPr>
      <w:rFonts w:ascii="Cambria" w:hAnsi="Cambria" w:eastAsia="宋体" w:cs="Times New Roman"/>
      <w:b/>
      <w:bCs/>
      <w:color w:val="000000"/>
      <w:sz w:val="32"/>
      <w:szCs w:val="32"/>
    </w:rPr>
  </w:style>
  <w:style w:type="paragraph" w:styleId="5">
    <w:name w:val="heading 3"/>
    <w:basedOn w:val="1"/>
    <w:next w:val="1"/>
    <w:qFormat/>
    <w:uiPriority w:val="0"/>
    <w:pPr>
      <w:keepNext/>
      <w:keepLines/>
      <w:numPr>
        <w:ilvl w:val="2"/>
        <w:numId w:val="1"/>
      </w:numPr>
      <w:spacing w:before="260" w:after="260" w:line="415" w:lineRule="auto"/>
      <w:outlineLvl w:val="2"/>
    </w:pPr>
    <w:rPr>
      <w:b/>
      <w:bCs/>
      <w:sz w:val="32"/>
      <w:szCs w:val="32"/>
    </w:rPr>
  </w:style>
  <w:style w:type="character" w:default="1" w:styleId="16">
    <w:name w:val="Default Paragraph Font"/>
    <w:semiHidden/>
    <w:uiPriority w:val="0"/>
  </w:style>
  <w:style w:type="table" w:default="1" w:styleId="19">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6">
    <w:name w:val="toc 7"/>
    <w:basedOn w:val="1"/>
    <w:next w:val="1"/>
    <w:uiPriority w:val="0"/>
    <w:pPr>
      <w:spacing w:line="360" w:lineRule="auto"/>
      <w:ind w:left="1800" w:firstLine="200"/>
      <w:jc w:val="left"/>
    </w:pPr>
    <w:rPr>
      <w:rFonts w:ascii="等线" w:hAnsi="等线" w:eastAsia="仿宋_GB2312" w:cs="Times New Roman"/>
      <w:color w:val="000000"/>
      <w:sz w:val="18"/>
      <w:szCs w:val="18"/>
    </w:rPr>
  </w:style>
  <w:style w:type="paragraph" w:styleId="7">
    <w:name w:val="caption"/>
    <w:basedOn w:val="1"/>
    <w:next w:val="1"/>
    <w:qFormat/>
    <w:uiPriority w:val="0"/>
    <w:pPr>
      <w:suppressLineNumbers/>
      <w:spacing w:before="120" w:after="120"/>
    </w:pPr>
    <w:rPr>
      <w:i/>
      <w:iCs/>
      <w:sz w:val="24"/>
      <w:szCs w:val="24"/>
    </w:rPr>
  </w:style>
  <w:style w:type="paragraph" w:styleId="8">
    <w:name w:val="Body Text"/>
    <w:basedOn w:val="1"/>
    <w:next w:val="6"/>
    <w:uiPriority w:val="0"/>
    <w:pPr>
      <w:spacing w:line="560" w:lineRule="exact"/>
      <w:ind w:firstLine="688"/>
    </w:pPr>
    <w:rPr>
      <w:rFonts w:ascii="Times New Roman" w:hAnsi="Times New Roman" w:eastAsia="仿宋" w:cs="Times New Roman"/>
    </w:rPr>
  </w:style>
  <w:style w:type="paragraph" w:styleId="9">
    <w:name w:val="Body Text Indent"/>
    <w:basedOn w:val="1"/>
    <w:uiPriority w:val="0"/>
    <w:pPr>
      <w:spacing w:before="0" w:after="120"/>
      <w:ind w:left="420" w:firstLine="688"/>
    </w:pPr>
  </w:style>
  <w:style w:type="paragraph" w:styleId="10">
    <w:name w:val="toc 3"/>
    <w:basedOn w:val="1"/>
    <w:next w:val="1"/>
    <w:uiPriority w:val="0"/>
    <w:pPr>
      <w:ind w:left="840" w:firstLine="688"/>
    </w:pPr>
  </w:style>
  <w:style w:type="paragraph" w:styleId="11">
    <w:name w:val="header"/>
    <w:basedOn w:val="1"/>
    <w:uiPriority w:val="0"/>
    <w:pPr>
      <w:pBdr>
        <w:bottom w:val="single" w:color="000000" w:sz="6" w:space="1"/>
      </w:pBdr>
      <w:tabs>
        <w:tab w:val="center" w:pos="4153"/>
        <w:tab w:val="right" w:pos="8306"/>
      </w:tabs>
      <w:snapToGrid w:val="0"/>
      <w:jc w:val="center"/>
    </w:pPr>
    <w:rPr>
      <w:sz w:val="18"/>
      <w:szCs w:val="18"/>
    </w:rPr>
  </w:style>
  <w:style w:type="paragraph" w:styleId="12">
    <w:name w:val="toc 1"/>
    <w:basedOn w:val="1"/>
    <w:next w:val="1"/>
    <w:uiPriority w:val="0"/>
  </w:style>
  <w:style w:type="paragraph" w:styleId="13">
    <w:name w:val="List"/>
    <w:basedOn w:val="8"/>
    <w:uiPriority w:val="0"/>
  </w:style>
  <w:style w:type="paragraph" w:styleId="14">
    <w:name w:val="footnote text"/>
    <w:basedOn w:val="1"/>
    <w:uiPriority w:val="0"/>
    <w:pPr>
      <w:snapToGrid w:val="0"/>
      <w:jc w:val="left"/>
    </w:pPr>
    <w:rPr>
      <w:sz w:val="18"/>
      <w:szCs w:val="18"/>
    </w:rPr>
  </w:style>
  <w:style w:type="paragraph" w:styleId="15">
    <w:name w:val="toc 2"/>
    <w:basedOn w:val="1"/>
    <w:next w:val="1"/>
    <w:uiPriority w:val="0"/>
    <w:pPr>
      <w:ind w:left="420" w:firstLine="688"/>
    </w:pPr>
  </w:style>
  <w:style w:type="character" w:styleId="17">
    <w:name w:val="page number"/>
    <w:uiPriority w:val="0"/>
  </w:style>
  <w:style w:type="character" w:styleId="18">
    <w:name w:val="Hyperlink"/>
    <w:uiPriority w:val="0"/>
    <w:rPr>
      <w:color w:val="0563C1"/>
      <w:u w:val="single"/>
    </w:rPr>
  </w:style>
  <w:style w:type="character" w:customStyle="1" w:styleId="20">
    <w:name w:val="WW8Num1z0"/>
    <w:qFormat/>
    <w:uiPriority w:val="0"/>
  </w:style>
  <w:style w:type="character" w:customStyle="1" w:styleId="21">
    <w:name w:val="WW8Num2z0"/>
    <w:qFormat/>
    <w:uiPriority w:val="0"/>
    <w:rPr>
      <w:rFonts w:ascii="黑体" w:hAnsi="黑体" w:eastAsia="黑体" w:cs="Times New Roman"/>
      <w:sz w:val="30"/>
      <w:szCs w:val="21"/>
    </w:rPr>
  </w:style>
  <w:style w:type="character" w:customStyle="1" w:styleId="22">
    <w:name w:val="WW8Num2z1"/>
    <w:qFormat/>
    <w:uiPriority w:val="0"/>
    <w:rPr>
      <w:rFonts w:ascii="黑体" w:hAnsi="黑体" w:eastAsia="黑体" w:cs="Times New Roman"/>
      <w:color w:val="000000"/>
      <w:spacing w:val="0"/>
      <w:kern w:val="0"/>
      <w:position w:val="0"/>
      <w:sz w:val="30"/>
      <w:szCs w:val="21"/>
      <w:u w:val="none"/>
      <w:vertAlign w:val="baseline"/>
    </w:rPr>
  </w:style>
  <w:style w:type="character" w:customStyle="1" w:styleId="23">
    <w:name w:val="WW8Num2z2"/>
    <w:qFormat/>
    <w:uiPriority w:val="0"/>
    <w:rPr>
      <w:rFonts w:ascii="黑体" w:hAnsi="黑体" w:eastAsia="黑体" w:cs="Times New Roman"/>
      <w:sz w:val="30"/>
      <w:szCs w:val="30"/>
    </w:rPr>
  </w:style>
  <w:style w:type="character" w:customStyle="1" w:styleId="24">
    <w:name w:val="WW8Num2z4"/>
    <w:qFormat/>
    <w:uiPriority w:val="0"/>
    <w:rPr>
      <w:rFonts w:ascii="黑体" w:hAnsi="黑体" w:eastAsia="黑体" w:cs="Times New Roman"/>
      <w:sz w:val="21"/>
    </w:rPr>
  </w:style>
  <w:style w:type="character" w:customStyle="1" w:styleId="25">
    <w:name w:val="WW8Num2z7"/>
    <w:qFormat/>
    <w:uiPriority w:val="0"/>
  </w:style>
  <w:style w:type="character" w:customStyle="1" w:styleId="26">
    <w:name w:val="WW8Num3z0"/>
    <w:qFormat/>
    <w:uiPriority w:val="0"/>
    <w:rPr>
      <w:lang w:val="en-US"/>
    </w:rPr>
  </w:style>
  <w:style w:type="character" w:customStyle="1" w:styleId="27">
    <w:name w:val="WW8Num3z1"/>
    <w:qFormat/>
    <w:uiPriority w:val="0"/>
    <w:rPr>
      <w:rFonts w:ascii="Symbol" w:hAnsi="Symbol" w:cs="Symbol"/>
      <w:color w:val="000000"/>
    </w:rPr>
  </w:style>
  <w:style w:type="character" w:customStyle="1" w:styleId="28">
    <w:name w:val="WW8Num3z3"/>
    <w:qFormat/>
    <w:uiPriority w:val="0"/>
  </w:style>
  <w:style w:type="character" w:customStyle="1" w:styleId="29">
    <w:name w:val="WW8Num4z0"/>
    <w:qFormat/>
    <w:uiPriority w:val="0"/>
  </w:style>
  <w:style w:type="character" w:customStyle="1" w:styleId="30">
    <w:name w:val="WW8Num4z1"/>
    <w:qFormat/>
    <w:uiPriority w:val="0"/>
  </w:style>
  <w:style w:type="character" w:customStyle="1" w:styleId="31">
    <w:name w:val="WW8Num4z2"/>
    <w:qFormat/>
    <w:uiPriority w:val="0"/>
  </w:style>
  <w:style w:type="character" w:customStyle="1" w:styleId="32">
    <w:name w:val="WW8Num4z3"/>
    <w:qFormat/>
    <w:uiPriority w:val="0"/>
  </w:style>
  <w:style w:type="character" w:customStyle="1" w:styleId="33">
    <w:name w:val="WW8Num4z4"/>
    <w:qFormat/>
    <w:uiPriority w:val="0"/>
  </w:style>
  <w:style w:type="character" w:customStyle="1" w:styleId="34">
    <w:name w:val="WW8Num4z5"/>
    <w:qFormat/>
    <w:uiPriority w:val="0"/>
  </w:style>
  <w:style w:type="character" w:customStyle="1" w:styleId="35">
    <w:name w:val="WW8Num4z6"/>
    <w:qFormat/>
    <w:uiPriority w:val="0"/>
  </w:style>
  <w:style w:type="character" w:customStyle="1" w:styleId="36">
    <w:name w:val="WW8Num4z7"/>
    <w:qFormat/>
    <w:uiPriority w:val="0"/>
  </w:style>
  <w:style w:type="character" w:customStyle="1" w:styleId="37">
    <w:name w:val="WW8Num4z8"/>
    <w:qFormat/>
    <w:uiPriority w:val="0"/>
  </w:style>
  <w:style w:type="character" w:customStyle="1" w:styleId="38">
    <w:name w:val="默认段落字体1"/>
    <w:qFormat/>
    <w:uiPriority w:val="0"/>
  </w:style>
  <w:style w:type="character" w:customStyle="1" w:styleId="39">
    <w:name w:val="font31"/>
    <w:qFormat/>
    <w:uiPriority w:val="0"/>
    <w:rPr>
      <w:rFonts w:ascii="宋体" w:hAnsi="宋体" w:eastAsia="宋体" w:cs="宋体"/>
      <w:color w:val="000000"/>
      <w:sz w:val="24"/>
      <w:szCs w:val="24"/>
      <w:u w:val="none"/>
    </w:rPr>
  </w:style>
  <w:style w:type="character" w:customStyle="1" w:styleId="40">
    <w:name w:val="font61"/>
    <w:qFormat/>
    <w:uiPriority w:val="0"/>
    <w:rPr>
      <w:rFonts w:ascii="仿宋" w:hAnsi="仿宋" w:eastAsia="仿宋" w:cs="仿宋"/>
      <w:color w:val="FF0000"/>
      <w:sz w:val="20"/>
      <w:szCs w:val="20"/>
      <w:u w:val="none"/>
    </w:rPr>
  </w:style>
  <w:style w:type="character" w:customStyle="1" w:styleId="41">
    <w:name w:val="font41"/>
    <w:qFormat/>
    <w:uiPriority w:val="0"/>
    <w:rPr>
      <w:rFonts w:ascii="仿宋" w:hAnsi="仿宋" w:eastAsia="仿宋" w:cs="仿宋"/>
      <w:color w:val="FF0000"/>
      <w:sz w:val="20"/>
      <w:szCs w:val="20"/>
      <w:u w:val="none"/>
    </w:rPr>
  </w:style>
  <w:style w:type="character" w:customStyle="1" w:styleId="42">
    <w:name w:val="font21"/>
    <w:qFormat/>
    <w:uiPriority w:val="0"/>
    <w:rPr>
      <w:rFonts w:ascii="宋体" w:hAnsi="宋体" w:eastAsia="宋体" w:cs="宋体"/>
      <w:color w:val="000000"/>
      <w:sz w:val="24"/>
      <w:szCs w:val="24"/>
      <w:u w:val="none"/>
    </w:rPr>
  </w:style>
  <w:style w:type="character" w:customStyle="1" w:styleId="43">
    <w:name w:val="页眉 字符"/>
    <w:qFormat/>
    <w:uiPriority w:val="0"/>
    <w:rPr>
      <w:rFonts w:eastAsia="仿宋_GB2312"/>
      <w:kern w:val="2"/>
      <w:sz w:val="18"/>
      <w:szCs w:val="18"/>
    </w:rPr>
  </w:style>
  <w:style w:type="character" w:customStyle="1" w:styleId="44">
    <w:name w:val="font81"/>
    <w:qFormat/>
    <w:uiPriority w:val="0"/>
    <w:rPr>
      <w:rFonts w:ascii="宋体" w:hAnsi="宋体" w:eastAsia="宋体" w:cs="宋体"/>
      <w:color w:val="000000"/>
      <w:sz w:val="20"/>
      <w:szCs w:val="20"/>
      <w:u w:val="none"/>
    </w:rPr>
  </w:style>
  <w:style w:type="character" w:customStyle="1" w:styleId="45">
    <w:name w:val="font51"/>
    <w:qFormat/>
    <w:uiPriority w:val="0"/>
    <w:rPr>
      <w:rFonts w:ascii="Times New Roman" w:hAnsi="Times New Roman" w:cs="Times New Roman"/>
      <w:color w:val="000000"/>
      <w:sz w:val="24"/>
      <w:szCs w:val="24"/>
      <w:u w:val="none"/>
    </w:rPr>
  </w:style>
  <w:style w:type="character" w:customStyle="1" w:styleId="46">
    <w:name w:val="font01"/>
    <w:qFormat/>
    <w:uiPriority w:val="0"/>
    <w:rPr>
      <w:rFonts w:ascii="仿宋" w:hAnsi="仿宋" w:eastAsia="仿宋" w:cs="仿宋"/>
      <w:color w:val="000000"/>
      <w:sz w:val="24"/>
      <w:szCs w:val="24"/>
      <w:u w:val="none"/>
    </w:rPr>
  </w:style>
  <w:style w:type="character" w:customStyle="1" w:styleId="47">
    <w:name w:val="font11"/>
    <w:qFormat/>
    <w:uiPriority w:val="0"/>
    <w:rPr>
      <w:rFonts w:ascii="仿宋" w:hAnsi="仿宋" w:eastAsia="仿宋" w:cs="仿宋"/>
      <w:color w:val="000000"/>
      <w:sz w:val="24"/>
      <w:szCs w:val="24"/>
      <w:u w:val="none"/>
    </w:rPr>
  </w:style>
  <w:style w:type="character" w:customStyle="1" w:styleId="48">
    <w:name w:val="font71"/>
    <w:qFormat/>
    <w:uiPriority w:val="0"/>
    <w:rPr>
      <w:rFonts w:ascii="Arial" w:hAnsi="Arial" w:cs="Arial"/>
      <w:color w:val="000000"/>
      <w:sz w:val="24"/>
      <w:szCs w:val="24"/>
      <w:u w:val="none"/>
    </w:rPr>
  </w:style>
  <w:style w:type="character" w:customStyle="1" w:styleId="49">
    <w:name w:val="Index Link"/>
    <w:qFormat/>
    <w:uiPriority w:val="0"/>
  </w:style>
  <w:style w:type="paragraph" w:customStyle="1" w:styleId="50">
    <w:name w:val="Heading"/>
    <w:basedOn w:val="1"/>
    <w:next w:val="1"/>
    <w:qFormat/>
    <w:uiPriority w:val="0"/>
    <w:pPr>
      <w:spacing w:line="360" w:lineRule="auto"/>
      <w:ind w:firstLine="200"/>
      <w:jc w:val="left"/>
      <w:outlineLvl w:val="3"/>
    </w:pPr>
    <w:rPr>
      <w:rFonts w:ascii="Cambria" w:hAnsi="Cambria" w:eastAsia="仿宋_GB2312" w:cs="Times New Roman"/>
      <w:bCs/>
      <w:color w:val="000000"/>
      <w:sz w:val="24"/>
      <w:szCs w:val="32"/>
    </w:rPr>
  </w:style>
  <w:style w:type="paragraph" w:customStyle="1" w:styleId="51">
    <w:name w:val="Index"/>
    <w:basedOn w:val="1"/>
    <w:qFormat/>
    <w:uiPriority w:val="0"/>
    <w:pPr>
      <w:suppressLineNumbers/>
    </w:pPr>
    <w:rPr>
      <w:lang w:val="zh-CN" w:eastAsia="zh-CN" w:bidi="zh-CN"/>
    </w:rPr>
  </w:style>
  <w:style w:type="paragraph" w:customStyle="1" w:styleId="52">
    <w:name w:val="A正文"/>
    <w:basedOn w:val="1"/>
    <w:qFormat/>
    <w:uiPriority w:val="0"/>
    <w:pPr>
      <w:widowControl w:val="0"/>
      <w:snapToGrid w:val="0"/>
      <w:spacing w:line="300" w:lineRule="auto"/>
      <w:ind w:firstLine="480"/>
      <w:jc w:val="both"/>
    </w:pPr>
    <w:rPr>
      <w:rFonts w:ascii="Times New Roman" w:hAnsi="Times New Roman" w:eastAsia="楷体_GB2312;楷体" w:cs="Times New Roman"/>
      <w:kern w:val="2"/>
    </w:rPr>
  </w:style>
  <w:style w:type="paragraph" w:customStyle="1" w:styleId="53">
    <w:name w:val="列项——（一级）"/>
    <w:qFormat/>
    <w:uiPriority w:val="0"/>
    <w:pPr>
      <w:widowControl w:val="0"/>
      <w:numPr>
        <w:ilvl w:val="0"/>
        <w:numId w:val="2"/>
      </w:numPr>
      <w:suppressAutoHyphens/>
      <w:bidi w:val="0"/>
      <w:spacing w:before="50" w:after="50"/>
      <w:ind w:left="975" w:firstLine="0"/>
      <w:jc w:val="both"/>
    </w:pPr>
    <w:rPr>
      <w:rFonts w:ascii="宋体" w:hAnsi="宋体" w:eastAsia="宋体" w:cs="Times New Roman"/>
      <w:color w:val="auto"/>
      <w:sz w:val="21"/>
      <w:szCs w:val="20"/>
      <w:lang w:val="en-US" w:eastAsia="zh-CN" w:bidi="ar-SA"/>
    </w:rPr>
  </w:style>
  <w:style w:type="paragraph" w:customStyle="1" w:styleId="54">
    <w:name w:val="一级条标题"/>
    <w:next w:val="55"/>
    <w:qFormat/>
    <w:uiPriority w:val="0"/>
    <w:pPr>
      <w:widowControl/>
      <w:numPr>
        <w:ilvl w:val="0"/>
        <w:numId w:val="3"/>
      </w:numPr>
      <w:suppressAutoHyphens/>
      <w:bidi w:val="0"/>
      <w:spacing w:before="156" w:after="156"/>
      <w:outlineLvl w:val="2"/>
    </w:pPr>
    <w:rPr>
      <w:rFonts w:ascii="黑体" w:hAnsi="黑体" w:eastAsia="黑体" w:cs="Times New Roman"/>
      <w:color w:val="auto"/>
      <w:sz w:val="21"/>
      <w:szCs w:val="21"/>
      <w:lang w:val="en-US" w:eastAsia="zh-CN" w:bidi="ar-SA"/>
    </w:rPr>
  </w:style>
  <w:style w:type="paragraph" w:customStyle="1" w:styleId="55">
    <w:name w:val="段"/>
    <w:qFormat/>
    <w:uiPriority w:val="0"/>
    <w:pPr>
      <w:widowControl/>
      <w:tabs>
        <w:tab w:val="center" w:pos="4201"/>
        <w:tab w:val="right" w:leader="dot" w:pos="9298"/>
      </w:tabs>
      <w:suppressAutoHyphens/>
      <w:autoSpaceDE w:val="0"/>
      <w:bidi w:val="0"/>
      <w:spacing w:before="50" w:after="50"/>
      <w:ind w:left="142" w:firstLine="420"/>
      <w:jc w:val="both"/>
    </w:pPr>
    <w:rPr>
      <w:rFonts w:ascii="宋体" w:hAnsi="宋体" w:eastAsia="宋体" w:cs="Times New Roman"/>
      <w:color w:val="auto"/>
      <w:sz w:val="21"/>
      <w:szCs w:val="20"/>
      <w:lang w:val="en-US" w:eastAsia="zh-CN" w:bidi="ar-SA"/>
    </w:rPr>
  </w:style>
  <w:style w:type="paragraph" w:customStyle="1" w:styleId="56">
    <w:name w:val="二级条标题"/>
    <w:basedOn w:val="54"/>
    <w:next w:val="55"/>
    <w:qFormat/>
    <w:uiPriority w:val="0"/>
    <w:pPr>
      <w:numPr>
        <w:ilvl w:val="0"/>
        <w:numId w:val="3"/>
      </w:numPr>
      <w:spacing w:before="50" w:after="50"/>
      <w:outlineLvl w:val="3"/>
    </w:pPr>
  </w:style>
  <w:style w:type="paragraph" w:customStyle="1" w:styleId="57">
    <w:name w:val="三级条标题"/>
    <w:basedOn w:val="56"/>
    <w:next w:val="55"/>
    <w:qFormat/>
    <w:uiPriority w:val="0"/>
    <w:pPr>
      <w:numPr>
        <w:ilvl w:val="0"/>
        <w:numId w:val="3"/>
      </w:numPr>
      <w:outlineLvl w:val="4"/>
    </w:pPr>
  </w:style>
  <w:style w:type="paragraph" w:customStyle="1" w:styleId="58">
    <w:name w:val="正文首行缩进 21"/>
    <w:basedOn w:val="9"/>
    <w:qFormat/>
    <w:uiPriority w:val="0"/>
    <w:pPr>
      <w:ind w:left="420" w:firstLine="420"/>
    </w:pPr>
  </w:style>
  <w:style w:type="paragraph" w:customStyle="1" w:styleId="59">
    <w:name w:val="普通(网站)1"/>
    <w:basedOn w:val="1"/>
    <w:qFormat/>
    <w:uiPriority w:val="0"/>
    <w:pPr>
      <w:spacing w:before="280" w:after="280"/>
      <w:ind w:left="0" w:right="0" w:firstLine="688"/>
      <w:jc w:val="left"/>
    </w:pPr>
    <w:rPr>
      <w:kern w:val="0"/>
      <w:sz w:val="24"/>
      <w:lang w:val="en-US" w:eastAsia="zh-CN" w:bidi="ar"/>
    </w:rPr>
  </w:style>
  <w:style w:type="paragraph" w:customStyle="1" w:styleId="60">
    <w:name w:val="Default"/>
    <w:qFormat/>
    <w:uiPriority w:val="0"/>
    <w:pPr>
      <w:widowControl w:val="0"/>
      <w:suppressAutoHyphens/>
      <w:autoSpaceDE w:val="0"/>
      <w:bidi w:val="0"/>
    </w:pPr>
    <w:rPr>
      <w:rFonts w:ascii="宋体" w:hAnsi="宋体" w:eastAsia="宋体" w:cs="宋体"/>
      <w:color w:val="000000"/>
      <w:sz w:val="24"/>
      <w:szCs w:val="24"/>
      <w:lang w:val="en-US" w:eastAsia="zh-CN" w:bidi="ar-SA"/>
    </w:rPr>
  </w:style>
  <w:style w:type="paragraph" w:customStyle="1" w:styleId="61">
    <w:name w:val="列出段落1"/>
    <w:basedOn w:val="1"/>
    <w:qFormat/>
    <w:uiPriority w:val="0"/>
    <w:pPr>
      <w:ind w:firstLine="200"/>
    </w:pPr>
    <w:rPr>
      <w:rFonts w:ascii="Calibri" w:hAnsi="Calibri" w:cs="Times New Roman"/>
      <w:szCs w:val="21"/>
    </w:rPr>
  </w:style>
  <w:style w:type="paragraph" w:customStyle="1" w:styleId="62">
    <w:name w:val="Header and Footer"/>
    <w:basedOn w:val="1"/>
    <w:qFormat/>
    <w:uiPriority w:val="0"/>
    <w:pPr>
      <w:suppressLineNumbers/>
      <w:tabs>
        <w:tab w:val="center" w:pos="4986"/>
        <w:tab w:val="right" w:pos="9972"/>
      </w:tabs>
    </w:pPr>
  </w:style>
  <w:style w:type="paragraph" w:customStyle="1" w:styleId="63">
    <w:name w:val="p"/>
    <w:basedOn w:val="1"/>
    <w:qFormat/>
    <w:uiPriority w:val="0"/>
    <w:pPr>
      <w:widowControl/>
      <w:spacing w:before="280" w:after="280"/>
      <w:jc w:val="left"/>
    </w:pPr>
    <w:rPr>
      <w:kern w:val="0"/>
      <w:sz w:val="24"/>
      <w:lang w:val="en-US" w:eastAsia="zh-CN" w:bidi="ar"/>
    </w:rPr>
  </w:style>
  <w:style w:type="paragraph" w:customStyle="1" w:styleId="64">
    <w:name w:val="Body text|1"/>
    <w:basedOn w:val="1"/>
    <w:qFormat/>
    <w:uiPriority w:val="0"/>
    <w:pPr>
      <w:widowControl w:val="0"/>
      <w:spacing w:line="472" w:lineRule="auto"/>
      <w:ind w:firstLine="400"/>
    </w:pPr>
    <w:rPr>
      <w:rFonts w:ascii="宋体" w:hAnsi="宋体" w:eastAsia="宋体" w:cs="宋体"/>
      <w:sz w:val="28"/>
      <w:szCs w:val="28"/>
      <w:u w:val="none"/>
      <w:shd w:val="clear" w:fill="auto"/>
      <w:lang w:val="zh-TW" w:eastAsia="zh-TW" w:bidi="zh-TW"/>
    </w:rPr>
  </w:style>
  <w:style w:type="paragraph" w:customStyle="1" w:styleId="65">
    <w:name w:val="WPSOffice手动目录 2"/>
    <w:qFormat/>
    <w:uiPriority w:val="0"/>
    <w:pPr>
      <w:widowControl/>
      <w:suppressAutoHyphens/>
      <w:bidi w:val="0"/>
    </w:pPr>
    <w:rPr>
      <w:rFonts w:ascii="Times New Roman" w:hAnsi="Times New Roman" w:eastAsia="宋体" w:cs="Times New Roman"/>
      <w:color w:val="auto"/>
      <w:sz w:val="20"/>
      <w:szCs w:val="20"/>
      <w:lang w:val="en-US" w:eastAsia="zh-CN" w:bidi="ar-SA"/>
    </w:rPr>
  </w:style>
  <w:style w:type="paragraph" w:customStyle="1" w:styleId="66">
    <w:name w:val="WPSOffice手动目录 1"/>
    <w:qFormat/>
    <w:uiPriority w:val="0"/>
    <w:pPr>
      <w:widowControl/>
      <w:suppressAutoHyphens/>
      <w:bidi w:val="0"/>
    </w:pPr>
    <w:rPr>
      <w:rFonts w:ascii="Times New Roman" w:hAnsi="Times New Roman" w:eastAsia="宋体" w:cs="Times New Roman"/>
      <w:color w:val="auto"/>
      <w:sz w:val="20"/>
      <w:szCs w:val="20"/>
      <w:lang w:val="en-US" w:eastAsia="zh-CN" w:bidi="ar-SA"/>
    </w:rPr>
  </w:style>
  <w:style w:type="paragraph" w:customStyle="1" w:styleId="67">
    <w:name w:val="正文首行缩进1"/>
    <w:basedOn w:val="8"/>
    <w:qFormat/>
    <w:uiPriority w:val="0"/>
    <w:pPr>
      <w:spacing w:line="360" w:lineRule="auto"/>
      <w:ind w:firstLine="200"/>
    </w:pPr>
    <w:rPr>
      <w:rFonts w:ascii="仿宋_GB2312" w:hAnsi="仿宋_GB2312" w:eastAsia="仿宋_GB2312"/>
      <w:sz w:val="30"/>
      <w:szCs w:val="30"/>
    </w:rPr>
  </w:style>
  <w:style w:type="paragraph" w:customStyle="1" w:styleId="68">
    <w:name w:val="正文缩进 + 首行缩进:  2 字符"/>
    <w:basedOn w:val="1"/>
    <w:qFormat/>
    <w:uiPriority w:val="0"/>
    <w:pPr>
      <w:spacing w:line="560" w:lineRule="exact"/>
      <w:ind w:firstLine="640"/>
    </w:pPr>
    <w:rPr>
      <w:rFonts w:ascii="Times New Roman" w:hAnsi="Times New Roman" w:eastAsia="仿宋_GB2312" w:cs="宋体"/>
      <w:sz w:val="32"/>
      <w:szCs w:val="20"/>
    </w:rPr>
  </w:style>
  <w:style w:type="paragraph" w:customStyle="1" w:styleId="69">
    <w:name w:val="列表段落"/>
    <w:basedOn w:val="1"/>
    <w:qFormat/>
    <w:uiPriority w:val="0"/>
    <w:pPr>
      <w:ind w:firstLine="420"/>
    </w:pPr>
  </w:style>
  <w:style w:type="paragraph" w:customStyle="1" w:styleId="70">
    <w:name w:val="纯文本1"/>
    <w:basedOn w:val="1"/>
    <w:qFormat/>
    <w:uiPriority w:val="0"/>
    <w:rPr>
      <w:rFonts w:ascii="宋体" w:hAnsi="宋体" w:cs="Courier New"/>
    </w:rPr>
  </w:style>
  <w:style w:type="paragraph" w:customStyle="1" w:styleId="71">
    <w:name w:val="WPSOffice手动目录 3"/>
    <w:qFormat/>
    <w:uiPriority w:val="0"/>
    <w:pPr>
      <w:widowControl/>
      <w:suppressAutoHyphens/>
      <w:bidi w:val="0"/>
    </w:pPr>
    <w:rPr>
      <w:rFonts w:ascii="Times New Roman" w:hAnsi="Times New Roman" w:eastAsia="宋体" w:cs="Times New Roman"/>
      <w:color w:val="auto"/>
      <w:sz w:val="20"/>
      <w:szCs w:val="20"/>
      <w:lang w:val="en-US" w:eastAsia="zh-CN" w:bidi="ar-SA"/>
    </w:rPr>
  </w:style>
  <w:style w:type="paragraph" w:customStyle="1" w:styleId="72">
    <w:name w:val="Table Contents"/>
    <w:basedOn w:val="1"/>
    <w:qFormat/>
    <w:uiPriority w:val="0"/>
    <w:pPr>
      <w:widowControl w:val="0"/>
      <w:suppressLineNumbers/>
    </w:pPr>
  </w:style>
  <w:style w:type="paragraph" w:customStyle="1" w:styleId="73">
    <w:name w:val="Table Heading"/>
    <w:basedOn w:val="72"/>
    <w:qFormat/>
    <w:uiPriority w:val="0"/>
    <w:pPr>
      <w:suppressLineNumbers/>
      <w:jc w:val="center"/>
    </w:pPr>
    <w:rPr>
      <w:b/>
      <w:bCs/>
    </w:rPr>
  </w:style>
  <w:style w:type="paragraph" w:customStyle="1" w:styleId="74">
    <w:name w:val="Frame Contents"/>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ScaleCrop>false</ScaleCrop>
  <LinksUpToDate>false</LinksUpToDate>
  <Application>WPS Office_10.1.0.6876_F1E327BC-269C-435d-A152-05C5408002CA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2023-08-30T10:28:00Z</dcterms:created>
  <dc:creator>Lenovo User</dc:creator>
  <cp:lastModifiedBy>Administrator</cp:lastModifiedBy>
  <cp:lastPrinted>2023-01-02T15:39:00Z</cp:lastPrinted>
  <dcterms:modified xsi:type="dcterms:W3CDTF">2024-09-18T03:16:04Z</dcterms:modified>
  <dc:title>附件3：</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5710CF3D34D34626BC4188F1A78047EE_13</vt:lpwstr>
  </property>
  <property fmtid="{D5CDD505-2E9C-101B-9397-08002B2CF9AE}" pid="3" name="KSOProductBuildVer">
    <vt:lpwstr>2052-10.1.0.6876</vt:lpwstr>
  </property>
  <property fmtid="{D5CDD505-2E9C-101B-9397-08002B2CF9AE}" pid="4" name="commondata">
    <vt:lpwstr>commondata</vt:lpwstr>
  </property>
</Properties>
</file>