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DC0BE">
      <w:pPr>
        <w:ind w:left="583" w:firstLine="880"/>
        <w:jc w:val="center"/>
        <w:rPr>
          <w:rFonts w:ascii="黑体" w:hAnsi="黑体" w:eastAsia="黑体"/>
          <w:sz w:val="44"/>
          <w:szCs w:val="44"/>
        </w:rPr>
      </w:pPr>
    </w:p>
    <w:p w14:paraId="7240662C">
      <w:pPr>
        <w:pStyle w:val="105"/>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bCs/>
          <w:sz w:val="44"/>
          <w:szCs w:val="44"/>
          <w:u w:val="none"/>
        </w:rPr>
      </w:pPr>
      <w:r>
        <w:rPr>
          <w:rFonts w:hint="eastAsia" w:cs="方正小标宋_GBK"/>
          <w:b/>
          <w:bCs/>
          <w:sz w:val="44"/>
          <w:szCs w:val="44"/>
          <w:u w:val="none"/>
          <w:lang w:val="en-US" w:eastAsia="zh-CN"/>
        </w:rPr>
        <w:t>崇</w:t>
      </w:r>
      <w:r>
        <w:rPr>
          <w:rFonts w:hint="eastAsia" w:ascii="方正小标宋_GBK" w:hAnsi="方正小标宋_GBK" w:eastAsia="方正小标宋_GBK" w:cs="方正小标宋_GBK"/>
          <w:b/>
          <w:bCs/>
          <w:sz w:val="44"/>
          <w:szCs w:val="44"/>
          <w:u w:val="none"/>
        </w:rPr>
        <w:t>阳县国土空间总体规划（2021—2035年）</w:t>
      </w:r>
    </w:p>
    <w:p w14:paraId="18FE5399">
      <w:pPr>
        <w:pStyle w:val="107"/>
        <w:ind w:firstLine="0" w:firstLineChars="0"/>
        <w:rPr>
          <w:rFonts w:ascii="黑体" w:hAnsi="黑体" w:eastAsia="黑体" w:cs="黑体"/>
          <w:sz w:val="32"/>
          <w:szCs w:val="32"/>
        </w:rPr>
      </w:pPr>
      <w:r>
        <w:rPr>
          <w:rFonts w:hint="eastAsia" w:ascii="黑体" w:hAnsi="黑体" w:eastAsia="黑体" w:cs="黑体"/>
          <w:sz w:val="32"/>
          <w:szCs w:val="32"/>
        </w:rPr>
        <w:t>目 录</w:t>
      </w:r>
      <w:bookmarkStart w:id="1343" w:name="_GoBack"/>
      <w:bookmarkEnd w:id="1343"/>
    </w:p>
    <w:p w14:paraId="5BB0B83E">
      <w:pPr>
        <w:ind w:firstLine="0" w:firstLineChars="0"/>
        <w:jc w:val="both"/>
        <w:rPr>
          <w:sz w:val="28"/>
          <w:szCs w:val="28"/>
          <w:lang w:val="zh-CN"/>
        </w:rPr>
      </w:pPr>
      <w:r>
        <w:rPr>
          <w:sz w:val="36"/>
          <w:szCs w:val="24"/>
          <w:lang w:val="zh-CN"/>
        </w:rPr>
        <w:fldChar w:fldCharType="begin"/>
      </w:r>
      <w:r>
        <w:rPr>
          <w:rFonts w:hint="eastAsia"/>
          <w:sz w:val="36"/>
          <w:szCs w:val="24"/>
          <w:lang w:val="zh-CN"/>
        </w:rPr>
        <w:instrText xml:space="preserve"> TOC \o "1-2" \h \z \u </w:instrText>
      </w:r>
      <w:r>
        <w:rPr>
          <w:sz w:val="36"/>
          <w:szCs w:val="24"/>
          <w:lang w:val="zh-CN"/>
        </w:rPr>
        <w:fldChar w:fldCharType="separate"/>
      </w:r>
      <w:bookmarkStart w:id="0" w:name="OLE_LINK37"/>
      <w:bookmarkStart w:id="1" w:name="OLE_LINK36"/>
    </w:p>
    <w:p w14:paraId="5BCB223B">
      <w:pPr>
        <w:pStyle w:val="20"/>
        <w:tabs>
          <w:tab w:val="right" w:leader="dot" w:pos="8561"/>
        </w:tabs>
        <w:spacing w:line="560" w:lineRule="atLeast"/>
        <w:ind w:firstLine="640"/>
        <w:rPr>
          <w:rFonts w:ascii="黑体" w:hAnsi="黑体" w:cs="仿宋_GB2312"/>
          <w:kern w:val="0"/>
          <w:szCs w:val="32"/>
        </w:rPr>
      </w:pPr>
      <w:r>
        <w:fldChar w:fldCharType="begin"/>
      </w:r>
      <w:r>
        <w:instrText xml:space="preserve"> HYPERLINK \l "_Toc18672" </w:instrText>
      </w:r>
      <w:r>
        <w:fldChar w:fldCharType="separate"/>
      </w:r>
      <w:r>
        <w:rPr>
          <w:rFonts w:ascii="黑体" w:hAnsi="黑体" w:cs="仿宋_GB2312"/>
          <w:kern w:val="0"/>
          <w:szCs w:val="32"/>
        </w:rPr>
        <w:t>前</w:t>
      </w:r>
      <w:r>
        <w:rPr>
          <w:rFonts w:hint="eastAsia" w:ascii="黑体" w:hAnsi="黑体" w:cs="仿宋_GB2312"/>
          <w:kern w:val="0"/>
          <w:szCs w:val="32"/>
        </w:rPr>
        <w:t xml:space="preserve"> </w:t>
      </w:r>
      <w:r>
        <w:rPr>
          <w:rFonts w:ascii="黑体" w:hAnsi="黑体" w:cs="仿宋_GB2312"/>
          <w:kern w:val="0"/>
          <w:szCs w:val="32"/>
        </w:rPr>
        <w:t>言</w:t>
      </w:r>
      <w:r>
        <w:rPr>
          <w:rFonts w:ascii="黑体" w:hAnsi="黑体" w:cs="仿宋_GB2312"/>
          <w:kern w:val="0"/>
          <w:szCs w:val="32"/>
        </w:rPr>
        <w:tab/>
      </w:r>
      <w:r>
        <w:rPr>
          <w:rFonts w:ascii="Times New Roman" w:hAnsi="Times New Roman"/>
          <w:b/>
          <w:bCs/>
          <w:kern w:val="0"/>
          <w:szCs w:val="32"/>
        </w:rPr>
        <w:t>1</w:t>
      </w:r>
      <w:r>
        <w:rPr>
          <w:rFonts w:ascii="Times New Roman" w:hAnsi="Times New Roman"/>
          <w:b/>
          <w:bCs/>
          <w:kern w:val="0"/>
          <w:szCs w:val="32"/>
        </w:rPr>
        <w:fldChar w:fldCharType="end"/>
      </w:r>
    </w:p>
    <w:p w14:paraId="461283EA">
      <w:pPr>
        <w:pStyle w:val="20"/>
        <w:tabs>
          <w:tab w:val="right" w:leader="dot" w:pos="8561"/>
        </w:tabs>
        <w:spacing w:line="560" w:lineRule="atLeast"/>
        <w:ind w:firstLine="640"/>
        <w:rPr>
          <w:rFonts w:ascii="黑体" w:hAnsi="黑体" w:cs="仿宋_GB2312"/>
          <w:kern w:val="0"/>
          <w:szCs w:val="32"/>
        </w:rPr>
      </w:pPr>
      <w:r>
        <w:fldChar w:fldCharType="begin"/>
      </w:r>
      <w:r>
        <w:instrText xml:space="preserve"> HYPERLINK \l "_Toc23413" </w:instrText>
      </w:r>
      <w:r>
        <w:fldChar w:fldCharType="separate"/>
      </w:r>
      <w:r>
        <w:rPr>
          <w:rFonts w:ascii="黑体" w:hAnsi="黑体" w:cs="仿宋_GB2312"/>
          <w:kern w:val="0"/>
          <w:szCs w:val="32"/>
        </w:rPr>
        <w:t>第一章 总则</w:t>
      </w:r>
      <w:r>
        <w:rPr>
          <w:rFonts w:ascii="黑体" w:hAnsi="黑体" w:cs="仿宋_GB2312"/>
          <w:kern w:val="0"/>
          <w:szCs w:val="32"/>
        </w:rPr>
        <w:tab/>
      </w:r>
      <w:r>
        <w:rPr>
          <w:rFonts w:ascii="Times New Roman" w:hAnsi="Times New Roman"/>
          <w:b/>
          <w:bCs/>
          <w:kern w:val="0"/>
          <w:szCs w:val="32"/>
        </w:rPr>
        <w:fldChar w:fldCharType="begin"/>
      </w:r>
      <w:r>
        <w:rPr>
          <w:rFonts w:ascii="Times New Roman" w:hAnsi="Times New Roman"/>
          <w:b/>
          <w:bCs/>
          <w:kern w:val="0"/>
          <w:szCs w:val="32"/>
        </w:rPr>
        <w:instrText xml:space="preserve"> PAGEREF _Toc23413 \h </w:instrText>
      </w:r>
      <w:r>
        <w:rPr>
          <w:rFonts w:ascii="Times New Roman" w:hAnsi="Times New Roman"/>
          <w:b/>
          <w:bCs/>
          <w:kern w:val="0"/>
          <w:szCs w:val="32"/>
        </w:rPr>
        <w:fldChar w:fldCharType="separate"/>
      </w:r>
      <w:r>
        <w:rPr>
          <w:rFonts w:ascii="Times New Roman" w:hAnsi="Times New Roman"/>
          <w:b/>
          <w:bCs/>
          <w:kern w:val="0"/>
          <w:szCs w:val="32"/>
        </w:rPr>
        <w:t>2</w:t>
      </w:r>
      <w:r>
        <w:rPr>
          <w:rFonts w:ascii="Times New Roman" w:hAnsi="Times New Roman"/>
          <w:b/>
          <w:bCs/>
          <w:kern w:val="0"/>
          <w:szCs w:val="32"/>
        </w:rPr>
        <w:fldChar w:fldCharType="end"/>
      </w:r>
      <w:r>
        <w:rPr>
          <w:rFonts w:ascii="Times New Roman" w:hAnsi="Times New Roman"/>
          <w:b/>
          <w:bCs/>
          <w:kern w:val="0"/>
          <w:szCs w:val="32"/>
        </w:rPr>
        <w:fldChar w:fldCharType="end"/>
      </w:r>
    </w:p>
    <w:p w14:paraId="78C09205">
      <w:pPr>
        <w:pStyle w:val="20"/>
        <w:tabs>
          <w:tab w:val="right" w:leader="dot" w:pos="8561"/>
        </w:tabs>
        <w:spacing w:line="560" w:lineRule="atLeast"/>
        <w:ind w:firstLine="640"/>
        <w:rPr>
          <w:rFonts w:ascii="黑体" w:hAnsi="黑体" w:cs="仿宋_GB2312"/>
          <w:kern w:val="0"/>
          <w:szCs w:val="32"/>
        </w:rPr>
      </w:pPr>
      <w:r>
        <w:fldChar w:fldCharType="begin"/>
      </w:r>
      <w:r>
        <w:instrText xml:space="preserve"> HYPERLINK \l "_Toc25754" </w:instrText>
      </w:r>
      <w:r>
        <w:fldChar w:fldCharType="separate"/>
      </w:r>
      <w:r>
        <w:rPr>
          <w:rFonts w:ascii="黑体" w:hAnsi="黑体" w:cs="仿宋_GB2312"/>
          <w:kern w:val="0"/>
          <w:szCs w:val="32"/>
        </w:rPr>
        <w:t>第二章 目标定位与空间战略</w:t>
      </w:r>
      <w:r>
        <w:rPr>
          <w:rFonts w:ascii="黑体" w:hAnsi="黑体" w:cs="仿宋_GB2312"/>
          <w:kern w:val="0"/>
          <w:szCs w:val="32"/>
        </w:rPr>
        <w:tab/>
      </w:r>
      <w:r>
        <w:rPr>
          <w:rFonts w:ascii="Times New Roman" w:hAnsi="Times New Roman"/>
          <w:b/>
          <w:bCs/>
          <w:kern w:val="0"/>
          <w:szCs w:val="32"/>
        </w:rPr>
        <w:fldChar w:fldCharType="begin"/>
      </w:r>
      <w:r>
        <w:rPr>
          <w:rFonts w:ascii="Times New Roman" w:hAnsi="Times New Roman"/>
          <w:b/>
          <w:bCs/>
          <w:kern w:val="0"/>
          <w:szCs w:val="32"/>
        </w:rPr>
        <w:instrText xml:space="preserve"> PAGEREF _Toc25754 \h </w:instrText>
      </w:r>
      <w:r>
        <w:rPr>
          <w:rFonts w:ascii="Times New Roman" w:hAnsi="Times New Roman"/>
          <w:b/>
          <w:bCs/>
          <w:kern w:val="0"/>
          <w:szCs w:val="32"/>
        </w:rPr>
        <w:fldChar w:fldCharType="separate"/>
      </w:r>
      <w:r>
        <w:rPr>
          <w:rFonts w:ascii="Times New Roman" w:hAnsi="Times New Roman"/>
          <w:b/>
          <w:bCs/>
          <w:kern w:val="0"/>
          <w:szCs w:val="32"/>
        </w:rPr>
        <w:t>6</w:t>
      </w:r>
      <w:r>
        <w:rPr>
          <w:rFonts w:ascii="Times New Roman" w:hAnsi="Times New Roman"/>
          <w:b/>
          <w:bCs/>
          <w:kern w:val="0"/>
          <w:szCs w:val="32"/>
        </w:rPr>
        <w:fldChar w:fldCharType="end"/>
      </w:r>
      <w:r>
        <w:rPr>
          <w:rFonts w:ascii="Times New Roman" w:hAnsi="Times New Roman"/>
          <w:b/>
          <w:bCs/>
          <w:kern w:val="0"/>
          <w:szCs w:val="32"/>
        </w:rPr>
        <w:fldChar w:fldCharType="end"/>
      </w:r>
    </w:p>
    <w:p w14:paraId="39D1B263">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rPr>
      </w:pPr>
      <w:r>
        <w:fldChar w:fldCharType="begin"/>
      </w:r>
      <w:r>
        <w:instrText xml:space="preserve"> HYPERLINK \l "_Toc1594" </w:instrText>
      </w:r>
      <w:r>
        <w:fldChar w:fldCharType="separate"/>
      </w:r>
      <w:r>
        <w:rPr>
          <w:rFonts w:hint="eastAsia" w:ascii="仿宋_GB2312" w:hAnsi="仿宋_GB2312" w:eastAsia="仿宋_GB2312" w:cs="仿宋_GB2312"/>
          <w:kern w:val="0"/>
          <w:szCs w:val="32"/>
        </w:rPr>
        <w:t>第一节 城市性质与目标愿景</w:t>
      </w:r>
      <w:r>
        <w:rPr>
          <w:rFonts w:hint="eastAsia" w:ascii="仿宋_GB2312" w:hAnsi="仿宋_GB2312" w:eastAsia="仿宋_GB2312" w:cs="仿宋_GB2312"/>
          <w:kern w:val="0"/>
          <w:szCs w:val="32"/>
        </w:rPr>
        <w:tab/>
      </w:r>
      <w:r>
        <w:rPr>
          <w:rFonts w:ascii="Times New Roman" w:hAnsi="Times New Roman" w:eastAsia="仿宋_GB2312"/>
          <w:kern w:val="0"/>
          <w:szCs w:val="32"/>
        </w:rPr>
        <w:fldChar w:fldCharType="begin"/>
      </w:r>
      <w:r>
        <w:rPr>
          <w:rFonts w:ascii="Times New Roman" w:hAnsi="Times New Roman" w:eastAsia="仿宋_GB2312"/>
          <w:kern w:val="0"/>
          <w:szCs w:val="32"/>
        </w:rPr>
        <w:instrText xml:space="preserve"> PAGEREF _Toc1594 \h </w:instrText>
      </w:r>
      <w:r>
        <w:rPr>
          <w:rFonts w:ascii="Times New Roman" w:hAnsi="Times New Roman" w:eastAsia="仿宋_GB2312"/>
          <w:kern w:val="0"/>
          <w:szCs w:val="32"/>
        </w:rPr>
        <w:fldChar w:fldCharType="separate"/>
      </w:r>
      <w:r>
        <w:rPr>
          <w:rFonts w:ascii="Times New Roman" w:hAnsi="Times New Roman" w:eastAsia="仿宋_GB2312"/>
          <w:kern w:val="0"/>
          <w:szCs w:val="32"/>
        </w:rPr>
        <w:t>6</w:t>
      </w:r>
      <w:r>
        <w:rPr>
          <w:rFonts w:ascii="Times New Roman" w:hAnsi="Times New Roman" w:eastAsia="仿宋_GB2312"/>
          <w:kern w:val="0"/>
          <w:szCs w:val="32"/>
        </w:rPr>
        <w:fldChar w:fldCharType="end"/>
      </w:r>
      <w:r>
        <w:rPr>
          <w:rFonts w:ascii="Times New Roman" w:hAnsi="Times New Roman" w:eastAsia="仿宋_GB2312"/>
          <w:kern w:val="0"/>
          <w:szCs w:val="32"/>
        </w:rPr>
        <w:fldChar w:fldCharType="end"/>
      </w:r>
    </w:p>
    <w:p w14:paraId="344F291C">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rPr>
      </w:pPr>
      <w:r>
        <w:fldChar w:fldCharType="begin"/>
      </w:r>
      <w:r>
        <w:instrText xml:space="preserve"> HYPERLINK \l "_Toc11426" </w:instrText>
      </w:r>
      <w:r>
        <w:fldChar w:fldCharType="separate"/>
      </w:r>
      <w:r>
        <w:rPr>
          <w:rFonts w:hint="eastAsia" w:ascii="仿宋_GB2312" w:hAnsi="仿宋_GB2312" w:eastAsia="仿宋_GB2312" w:cs="仿宋_GB2312"/>
          <w:kern w:val="0"/>
          <w:szCs w:val="32"/>
        </w:rPr>
        <w:t>第二节 规划指标体系</w:t>
      </w:r>
      <w:r>
        <w:rPr>
          <w:rFonts w:hint="eastAsia" w:ascii="仿宋_GB2312" w:hAnsi="仿宋_GB2312" w:eastAsia="仿宋_GB2312" w:cs="仿宋_GB2312"/>
          <w:kern w:val="0"/>
          <w:szCs w:val="32"/>
        </w:rPr>
        <w:tab/>
      </w: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PAGEREF _Toc11426 \h </w:instrText>
      </w:r>
      <w:r>
        <w:rPr>
          <w:rFonts w:hint="eastAsia" w:ascii="仿宋_GB2312" w:hAnsi="仿宋_GB2312" w:eastAsia="仿宋_GB2312" w:cs="仿宋_GB2312"/>
          <w:kern w:val="0"/>
          <w:szCs w:val="32"/>
        </w:rPr>
        <w:fldChar w:fldCharType="separate"/>
      </w:r>
      <w:r>
        <w:rPr>
          <w:rFonts w:hint="eastAsia" w:ascii="仿宋_GB2312" w:hAnsi="仿宋_GB2312" w:eastAsia="仿宋_GB2312" w:cs="仿宋_GB2312"/>
          <w:kern w:val="0"/>
          <w:szCs w:val="32"/>
        </w:rPr>
        <w:t>9</w:t>
      </w:r>
      <w:r>
        <w:rPr>
          <w:rFonts w:hint="eastAsia" w:ascii="仿宋_GB2312" w:hAnsi="仿宋_GB2312" w:eastAsia="仿宋_GB2312" w:cs="仿宋_GB2312"/>
          <w:kern w:val="0"/>
          <w:szCs w:val="32"/>
        </w:rPr>
        <w:fldChar w:fldCharType="end"/>
      </w:r>
      <w:r>
        <w:rPr>
          <w:rFonts w:hint="eastAsia" w:ascii="仿宋_GB2312" w:hAnsi="仿宋_GB2312" w:eastAsia="仿宋_GB2312" w:cs="仿宋_GB2312"/>
          <w:kern w:val="0"/>
          <w:szCs w:val="32"/>
        </w:rPr>
        <w:fldChar w:fldCharType="end"/>
      </w:r>
    </w:p>
    <w:p w14:paraId="0BD86C1B">
      <w:pPr>
        <w:pStyle w:val="24"/>
        <w:widowControl/>
        <w:tabs>
          <w:tab w:val="right" w:leader="dot" w:pos="8561"/>
        </w:tabs>
        <w:adjustRightInd/>
        <w:spacing w:line="560" w:lineRule="atLeast"/>
        <w:ind w:left="640" w:leftChars="200" w:firstLine="640"/>
        <w:jc w:val="both"/>
      </w:pPr>
      <w:r>
        <w:fldChar w:fldCharType="begin"/>
      </w:r>
      <w:r>
        <w:instrText xml:space="preserve"> HYPERLINK \l "_Toc4166" </w:instrText>
      </w:r>
      <w:r>
        <w:fldChar w:fldCharType="separate"/>
      </w:r>
      <w:r>
        <w:rPr>
          <w:rFonts w:hint="eastAsia" w:ascii="仿宋_GB2312" w:hAnsi="仿宋_GB2312" w:eastAsia="仿宋_GB2312" w:cs="仿宋_GB2312"/>
          <w:kern w:val="0"/>
          <w:szCs w:val="32"/>
        </w:rPr>
        <w:t>第三节 国土空间开发保护战略</w:t>
      </w:r>
      <w:r>
        <w:rPr>
          <w:rFonts w:hint="eastAsia" w:ascii="仿宋_GB2312" w:hAnsi="仿宋_GB2312" w:eastAsia="仿宋_GB2312" w:cs="仿宋_GB2312"/>
          <w:kern w:val="0"/>
          <w:szCs w:val="32"/>
        </w:rPr>
        <w:tab/>
      </w:r>
      <w:r>
        <w:rPr>
          <w:rFonts w:hint="eastAsia" w:ascii="仿宋_GB2312" w:hAnsi="仿宋_GB2312" w:eastAsia="仿宋_GB2312" w:cs="仿宋_GB2312"/>
          <w:kern w:val="0"/>
          <w:szCs w:val="32"/>
        </w:rPr>
        <w:fldChar w:fldCharType="begin"/>
      </w:r>
      <w:r>
        <w:rPr>
          <w:rFonts w:hint="eastAsia" w:ascii="仿宋_GB2312" w:hAnsi="仿宋_GB2312" w:eastAsia="仿宋_GB2312" w:cs="仿宋_GB2312"/>
          <w:kern w:val="0"/>
          <w:szCs w:val="32"/>
        </w:rPr>
        <w:instrText xml:space="preserve"> PAGEREF _Toc4166 \h </w:instrText>
      </w:r>
      <w:r>
        <w:rPr>
          <w:rFonts w:hint="eastAsia" w:ascii="仿宋_GB2312" w:hAnsi="仿宋_GB2312" w:eastAsia="仿宋_GB2312" w:cs="仿宋_GB2312"/>
          <w:kern w:val="0"/>
          <w:szCs w:val="32"/>
        </w:rPr>
        <w:fldChar w:fldCharType="separate"/>
      </w:r>
      <w:r>
        <w:rPr>
          <w:rFonts w:hint="eastAsia" w:ascii="仿宋_GB2312" w:hAnsi="仿宋_GB2312" w:eastAsia="仿宋_GB2312" w:cs="仿宋_GB2312"/>
          <w:kern w:val="0"/>
          <w:szCs w:val="32"/>
        </w:rPr>
        <w:t>9</w:t>
      </w:r>
      <w:r>
        <w:rPr>
          <w:rFonts w:hint="eastAsia" w:ascii="仿宋_GB2312" w:hAnsi="仿宋_GB2312" w:eastAsia="仿宋_GB2312" w:cs="仿宋_GB2312"/>
          <w:kern w:val="0"/>
          <w:szCs w:val="32"/>
        </w:rPr>
        <w:fldChar w:fldCharType="end"/>
      </w:r>
      <w:r>
        <w:rPr>
          <w:rFonts w:hint="eastAsia" w:ascii="仿宋_GB2312" w:hAnsi="仿宋_GB2312" w:eastAsia="仿宋_GB2312" w:cs="仿宋_GB2312"/>
          <w:kern w:val="0"/>
          <w:szCs w:val="32"/>
        </w:rPr>
        <w:fldChar w:fldCharType="end"/>
      </w:r>
    </w:p>
    <w:p w14:paraId="08162D88">
      <w:pPr>
        <w:pStyle w:val="20"/>
        <w:tabs>
          <w:tab w:val="right" w:leader="dot" w:pos="8561"/>
        </w:tabs>
        <w:spacing w:line="560" w:lineRule="atLeast"/>
        <w:ind w:firstLine="640"/>
        <w:rPr>
          <w:rFonts w:ascii="黑体" w:hAnsi="黑体" w:cs="仿宋_GB2312"/>
          <w:kern w:val="0"/>
          <w:szCs w:val="32"/>
          <w:lang w:val="zh-CN"/>
        </w:rPr>
      </w:pPr>
      <w:r>
        <w:fldChar w:fldCharType="begin"/>
      </w:r>
      <w:r>
        <w:instrText xml:space="preserve"> HYPERLINK \l "_Toc14003" </w:instrText>
      </w:r>
      <w:r>
        <w:fldChar w:fldCharType="separate"/>
      </w:r>
      <w:r>
        <w:rPr>
          <w:rFonts w:ascii="黑体" w:hAnsi="黑体" w:cs="仿宋_GB2312"/>
          <w:kern w:val="0"/>
          <w:szCs w:val="32"/>
          <w:lang w:val="zh-CN"/>
        </w:rPr>
        <w:t>第三章 国土空间开发保护格局</w:t>
      </w:r>
      <w:r>
        <w:rPr>
          <w:rFonts w:ascii="黑体" w:hAnsi="黑体" w:cs="仿宋_GB2312"/>
          <w:kern w:val="0"/>
          <w:szCs w:val="32"/>
          <w:lang w:val="zh-CN"/>
        </w:rPr>
        <w:tab/>
      </w:r>
      <w:r>
        <w:rPr>
          <w:rFonts w:ascii="Times New Roman" w:hAnsi="Times New Roman"/>
          <w:b/>
          <w:bCs/>
          <w:kern w:val="0"/>
          <w:szCs w:val="32"/>
          <w:lang w:val="zh-CN"/>
        </w:rPr>
        <w:fldChar w:fldCharType="begin"/>
      </w:r>
      <w:r>
        <w:rPr>
          <w:rFonts w:ascii="Times New Roman" w:hAnsi="Times New Roman"/>
          <w:b/>
          <w:bCs/>
          <w:kern w:val="0"/>
          <w:szCs w:val="32"/>
          <w:lang w:val="zh-CN"/>
        </w:rPr>
        <w:instrText xml:space="preserve"> PAGEREF _Toc14003 \h </w:instrText>
      </w:r>
      <w:r>
        <w:rPr>
          <w:rFonts w:ascii="Times New Roman" w:hAnsi="Times New Roman"/>
          <w:b/>
          <w:bCs/>
          <w:kern w:val="0"/>
          <w:szCs w:val="32"/>
          <w:lang w:val="zh-CN"/>
        </w:rPr>
        <w:fldChar w:fldCharType="separate"/>
      </w:r>
      <w:r>
        <w:rPr>
          <w:rFonts w:ascii="Times New Roman" w:hAnsi="Times New Roman"/>
          <w:b/>
          <w:bCs/>
          <w:kern w:val="0"/>
          <w:szCs w:val="32"/>
          <w:lang w:val="zh-CN"/>
        </w:rPr>
        <w:t>13</w:t>
      </w:r>
      <w:r>
        <w:rPr>
          <w:rFonts w:ascii="Times New Roman" w:hAnsi="Times New Roman"/>
          <w:b/>
          <w:bCs/>
          <w:kern w:val="0"/>
          <w:szCs w:val="32"/>
          <w:lang w:val="zh-CN"/>
        </w:rPr>
        <w:fldChar w:fldCharType="end"/>
      </w:r>
      <w:r>
        <w:rPr>
          <w:rFonts w:ascii="Times New Roman" w:hAnsi="Times New Roman"/>
          <w:b/>
          <w:bCs/>
          <w:kern w:val="0"/>
          <w:szCs w:val="32"/>
          <w:lang w:val="zh-CN"/>
        </w:rPr>
        <w:fldChar w:fldCharType="end"/>
      </w:r>
    </w:p>
    <w:p w14:paraId="73787430">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bookmarkStart w:id="2" w:name="OLE_LINK35"/>
      <w:bookmarkStart w:id="3" w:name="OLE_LINK34"/>
      <w:r>
        <w:rPr>
          <w:rFonts w:hint="eastAsia"/>
        </w:rPr>
        <w:fldChar w:fldCharType="begin"/>
      </w:r>
      <w:r>
        <w:instrText xml:space="preserve"> HYPERLINK \l "_Toc3469" </w:instrText>
      </w:r>
      <w:r>
        <w:rPr>
          <w:rFonts w:hint="eastAsia"/>
        </w:rPr>
        <w:fldChar w:fldCharType="separate"/>
      </w:r>
      <w:r>
        <w:rPr>
          <w:rFonts w:hint="eastAsia" w:ascii="仿宋_GB2312" w:hAnsi="仿宋_GB2312" w:eastAsia="仿宋_GB2312" w:cs="仿宋_GB2312"/>
          <w:kern w:val="0"/>
          <w:szCs w:val="32"/>
          <w:lang w:val="zh-CN"/>
        </w:rPr>
        <w:t>第一节 三条控制线划定与管控</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_Toc3469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13</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2779BB84">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"_Toc12296" </w:instrText>
      </w:r>
      <w:r>
        <w:fldChar w:fldCharType="separate"/>
      </w:r>
      <w:r>
        <w:rPr>
          <w:rFonts w:hint="eastAsia" w:ascii="仿宋_GB2312" w:hAnsi="仿宋_GB2312" w:eastAsia="仿宋_GB2312" w:cs="仿宋_GB2312"/>
          <w:kern w:val="0"/>
          <w:szCs w:val="32"/>
          <w:lang w:val="zh-CN"/>
        </w:rPr>
        <w:t>第二节 主体功能定位</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_Toc12296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14</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366300E5">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"_Toc816" </w:instrText>
      </w:r>
      <w:r>
        <w:fldChar w:fldCharType="separate"/>
      </w:r>
      <w:r>
        <w:rPr>
          <w:rFonts w:hint="eastAsia" w:ascii="仿宋_GB2312" w:hAnsi="仿宋_GB2312" w:eastAsia="仿宋_GB2312" w:cs="仿宋_GB2312"/>
          <w:kern w:val="0"/>
          <w:szCs w:val="32"/>
          <w:lang w:val="zh-CN"/>
        </w:rPr>
        <w:t>第三节 构建国土空间融合发展格局</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_Toc816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15</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364DAD12">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"_Toc2785" </w:instrText>
      </w:r>
      <w:r>
        <w:fldChar w:fldCharType="separate"/>
      </w:r>
      <w:r>
        <w:rPr>
          <w:rFonts w:hint="eastAsia" w:ascii="仿宋_GB2312" w:hAnsi="仿宋_GB2312" w:eastAsia="仿宋_GB2312" w:cs="仿宋_GB2312"/>
          <w:kern w:val="0"/>
          <w:szCs w:val="32"/>
          <w:lang w:val="zh-CN"/>
        </w:rPr>
        <w:t>第四节 国土空间规划分区</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_Toc2785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16</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07DF16BC">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"_Toc7554" </w:instrText>
      </w:r>
      <w:r>
        <w:fldChar w:fldCharType="separate"/>
      </w:r>
      <w:r>
        <w:rPr>
          <w:rFonts w:hint="eastAsia" w:ascii="仿宋_GB2312" w:hAnsi="仿宋_GB2312" w:eastAsia="仿宋_GB2312" w:cs="仿宋_GB2312"/>
          <w:kern w:val="0"/>
          <w:szCs w:val="32"/>
          <w:lang w:val="zh-CN"/>
        </w:rPr>
        <w:t>第五节 优化国土空间功能结构</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_Toc7554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21</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bookmarkEnd w:id="0"/>
      <w:bookmarkEnd w:id="1"/>
    </w:p>
    <w:p w14:paraId="7CEF1250">
      <w:pPr>
        <w:pStyle w:val="20"/>
        <w:tabs>
          <w:tab w:val="right" w:leader="dot" w:pos="8561"/>
        </w:tabs>
        <w:spacing w:line="560" w:lineRule="atLeast"/>
        <w:ind w:firstLine="640"/>
        <w:rPr>
          <w:rFonts w:ascii="黑体" w:hAnsi="黑体" w:cs="仿宋_GB2312"/>
          <w:kern w:val="0"/>
          <w:szCs w:val="32"/>
        </w:rPr>
      </w:pPr>
      <w:r>
        <w:fldChar w:fldCharType="begin"/>
      </w:r>
      <w:r>
        <w:instrText xml:space="preserve"> HYPERLINK \l "_Toc8436" </w:instrText>
      </w:r>
      <w:r>
        <w:fldChar w:fldCharType="separate"/>
      </w:r>
      <w:r>
        <w:rPr>
          <w:rFonts w:ascii="黑体" w:hAnsi="黑体" w:cs="仿宋_GB2312"/>
          <w:kern w:val="0"/>
          <w:szCs w:val="32"/>
        </w:rPr>
        <w:t>第四章 保障农业空间促进乡村振兴</w:t>
      </w:r>
      <w:r>
        <w:rPr>
          <w:rFonts w:ascii="黑体" w:hAnsi="黑体" w:cs="仿宋_GB2312"/>
          <w:kern w:val="0"/>
          <w:szCs w:val="32"/>
        </w:rPr>
        <w:tab/>
      </w:r>
      <w:r>
        <w:rPr>
          <w:rFonts w:ascii="Times New Roman" w:hAnsi="Times New Roman"/>
          <w:b/>
          <w:bCs/>
          <w:kern w:val="0"/>
          <w:szCs w:val="32"/>
        </w:rPr>
        <w:fldChar w:fldCharType="begin"/>
      </w:r>
      <w:r>
        <w:rPr>
          <w:rFonts w:ascii="Times New Roman" w:hAnsi="Times New Roman"/>
          <w:b/>
          <w:bCs/>
          <w:kern w:val="0"/>
          <w:szCs w:val="32"/>
        </w:rPr>
        <w:instrText xml:space="preserve"> PAGEREF _Toc8436 \h </w:instrText>
      </w:r>
      <w:r>
        <w:rPr>
          <w:rFonts w:ascii="Times New Roman" w:hAnsi="Times New Roman"/>
          <w:b/>
          <w:bCs/>
          <w:kern w:val="0"/>
          <w:szCs w:val="32"/>
        </w:rPr>
        <w:fldChar w:fldCharType="separate"/>
      </w:r>
      <w:r>
        <w:rPr>
          <w:rFonts w:ascii="Times New Roman" w:hAnsi="Times New Roman"/>
          <w:b/>
          <w:bCs/>
          <w:kern w:val="0"/>
          <w:szCs w:val="32"/>
        </w:rPr>
        <w:t>22</w:t>
      </w:r>
      <w:r>
        <w:rPr>
          <w:rFonts w:ascii="Times New Roman" w:hAnsi="Times New Roman"/>
          <w:b/>
          <w:bCs/>
          <w:kern w:val="0"/>
          <w:szCs w:val="32"/>
        </w:rPr>
        <w:fldChar w:fldCharType="end"/>
      </w:r>
      <w:r>
        <w:rPr>
          <w:rFonts w:ascii="Times New Roman" w:hAnsi="Times New Roman"/>
          <w:b/>
          <w:bCs/>
          <w:kern w:val="0"/>
          <w:szCs w:val="32"/>
        </w:rPr>
        <w:fldChar w:fldCharType="end"/>
      </w:r>
    </w:p>
    <w:p w14:paraId="713CCCEC">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"_Toc14892" </w:instrText>
      </w:r>
      <w:r>
        <w:fldChar w:fldCharType="separate"/>
      </w:r>
      <w:r>
        <w:rPr>
          <w:rFonts w:hint="eastAsia" w:ascii="仿宋_GB2312" w:hAnsi="仿宋_GB2312" w:eastAsia="仿宋_GB2312" w:cs="仿宋_GB2312"/>
          <w:kern w:val="0"/>
          <w:szCs w:val="32"/>
          <w:lang w:val="zh-CN"/>
        </w:rPr>
        <w:t>第一节 严守耕地红线保障粮食安全</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_Toc14892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22</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5098F0B6">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"_Toc24585" </w:instrText>
      </w:r>
      <w:r>
        <w:fldChar w:fldCharType="separate"/>
      </w:r>
      <w:r>
        <w:rPr>
          <w:rFonts w:hint="eastAsia" w:ascii="仿宋_GB2312" w:hAnsi="仿宋_GB2312" w:eastAsia="仿宋_GB2312" w:cs="仿宋_GB2312"/>
          <w:kern w:val="0"/>
          <w:szCs w:val="32"/>
          <w:lang w:val="zh-CN"/>
        </w:rPr>
        <w:t>第二节 农业空间布局</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_Toc24585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26</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2223BB9A">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"_Toc8802" </w:instrText>
      </w:r>
      <w:r>
        <w:fldChar w:fldCharType="separate"/>
      </w:r>
      <w:r>
        <w:rPr>
          <w:rFonts w:hint="eastAsia" w:ascii="仿宋_GB2312" w:hAnsi="仿宋_GB2312" w:eastAsia="仿宋_GB2312" w:cs="仿宋_GB2312"/>
          <w:kern w:val="0"/>
          <w:szCs w:val="32"/>
          <w:lang w:val="zh-CN"/>
        </w:rPr>
        <w:t>第三节 乡村振兴战略</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_Toc8802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27</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0139D56D">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"_Toc27961" </w:instrText>
      </w:r>
      <w:r>
        <w:fldChar w:fldCharType="separate"/>
      </w:r>
      <w:r>
        <w:rPr>
          <w:rFonts w:hint="eastAsia" w:ascii="仿宋_GB2312" w:hAnsi="仿宋_GB2312" w:eastAsia="仿宋_GB2312" w:cs="仿宋_GB2312"/>
          <w:kern w:val="0"/>
          <w:szCs w:val="32"/>
          <w:lang w:val="zh-CN"/>
        </w:rPr>
        <w:t>第四节 推进全域国土综合整治</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_Toc27961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32</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2BA15761">
      <w:pPr>
        <w:pStyle w:val="20"/>
        <w:tabs>
          <w:tab w:val="right" w:leader="dot" w:pos="8561"/>
        </w:tabs>
        <w:spacing w:line="560" w:lineRule="atLeast"/>
        <w:ind w:firstLine="640"/>
        <w:rPr>
          <w:rFonts w:ascii="黑体" w:hAnsi="黑体" w:cs="仿宋_GB2312"/>
          <w:kern w:val="0"/>
          <w:szCs w:val="32"/>
        </w:rPr>
      </w:pPr>
      <w:r>
        <w:fldChar w:fldCharType="begin"/>
      </w:r>
      <w:r>
        <w:instrText xml:space="preserve"> HYPERLINK \l "_Toc3585" </w:instrText>
      </w:r>
      <w:r>
        <w:fldChar w:fldCharType="separate"/>
      </w:r>
      <w:r>
        <w:rPr>
          <w:rFonts w:ascii="黑体" w:hAnsi="黑体" w:cs="仿宋_GB2312"/>
          <w:kern w:val="0"/>
          <w:szCs w:val="32"/>
        </w:rPr>
        <w:t>第五章 优化山清水秀生态空间</w:t>
      </w:r>
      <w:r>
        <w:rPr>
          <w:rFonts w:ascii="黑体" w:hAnsi="黑体" w:cs="仿宋_GB2312"/>
          <w:kern w:val="0"/>
          <w:szCs w:val="32"/>
        </w:rPr>
        <w:tab/>
      </w:r>
      <w:r>
        <w:rPr>
          <w:rFonts w:ascii="Times New Roman" w:hAnsi="Times New Roman"/>
          <w:b/>
          <w:bCs/>
          <w:kern w:val="0"/>
          <w:szCs w:val="32"/>
        </w:rPr>
        <w:fldChar w:fldCharType="begin"/>
      </w:r>
      <w:r>
        <w:rPr>
          <w:rFonts w:ascii="Times New Roman" w:hAnsi="Times New Roman"/>
          <w:b/>
          <w:bCs/>
          <w:kern w:val="0"/>
          <w:szCs w:val="32"/>
        </w:rPr>
        <w:instrText xml:space="preserve"> PAGEREF _Toc3585 \h </w:instrText>
      </w:r>
      <w:r>
        <w:rPr>
          <w:rFonts w:ascii="Times New Roman" w:hAnsi="Times New Roman"/>
          <w:b/>
          <w:bCs/>
          <w:kern w:val="0"/>
          <w:szCs w:val="32"/>
        </w:rPr>
        <w:fldChar w:fldCharType="separate"/>
      </w:r>
      <w:r>
        <w:rPr>
          <w:rFonts w:ascii="Times New Roman" w:hAnsi="Times New Roman"/>
          <w:b/>
          <w:bCs/>
          <w:kern w:val="0"/>
          <w:szCs w:val="32"/>
        </w:rPr>
        <w:t>36</w:t>
      </w:r>
      <w:r>
        <w:rPr>
          <w:rFonts w:ascii="Times New Roman" w:hAnsi="Times New Roman"/>
          <w:b/>
          <w:bCs/>
          <w:kern w:val="0"/>
          <w:szCs w:val="32"/>
        </w:rPr>
        <w:fldChar w:fldCharType="end"/>
      </w:r>
      <w:r>
        <w:rPr>
          <w:rFonts w:ascii="Times New Roman" w:hAnsi="Times New Roman"/>
          <w:b/>
          <w:bCs/>
          <w:kern w:val="0"/>
          <w:szCs w:val="32"/>
        </w:rPr>
        <w:fldChar w:fldCharType="end"/>
      </w:r>
    </w:p>
    <w:p w14:paraId="6873F3FE">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"_Toc17137" </w:instrText>
      </w:r>
      <w:r>
        <w:fldChar w:fldCharType="separate"/>
      </w:r>
      <w:r>
        <w:rPr>
          <w:rFonts w:hint="eastAsia" w:ascii="仿宋_GB2312" w:hAnsi="仿宋_GB2312" w:eastAsia="仿宋_GB2312" w:cs="仿宋_GB2312"/>
          <w:kern w:val="0"/>
          <w:szCs w:val="32"/>
          <w:lang w:val="zh-CN"/>
        </w:rPr>
        <w:t>第一节 建立自然保护地体系</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_Toc17137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36</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2345B4E4">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"_Toc19638" </w:instrText>
      </w:r>
      <w:r>
        <w:fldChar w:fldCharType="separate"/>
      </w:r>
      <w:r>
        <w:rPr>
          <w:rFonts w:hint="eastAsia" w:ascii="仿宋_GB2312" w:hAnsi="仿宋_GB2312" w:eastAsia="仿宋_GB2312" w:cs="仿宋_GB2312"/>
          <w:kern w:val="0"/>
          <w:szCs w:val="32"/>
          <w:lang w:val="zh-CN"/>
        </w:rPr>
        <w:t>第二节 生态空间格局</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_Toc19638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37</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6A64A2F5">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"_Toc10841" </w:instrText>
      </w:r>
      <w:r>
        <w:fldChar w:fldCharType="separate"/>
      </w:r>
      <w:r>
        <w:rPr>
          <w:rFonts w:hint="eastAsia" w:ascii="仿宋_GB2312" w:hAnsi="仿宋_GB2312" w:eastAsia="仿宋_GB2312" w:cs="仿宋_GB2312"/>
          <w:kern w:val="0"/>
          <w:szCs w:val="32"/>
          <w:lang w:val="zh-CN"/>
        </w:rPr>
        <w:t>第三节 统筹自然资源保护与利用</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_Toc10841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39</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691F6BEA">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"_Toc656" </w:instrText>
      </w:r>
      <w:r>
        <w:fldChar w:fldCharType="separate"/>
      </w:r>
      <w:r>
        <w:rPr>
          <w:rFonts w:hint="eastAsia" w:ascii="仿宋_GB2312" w:hAnsi="仿宋_GB2312" w:eastAsia="仿宋_GB2312" w:cs="仿宋_GB2312"/>
          <w:kern w:val="0"/>
          <w:szCs w:val="32"/>
          <w:lang w:val="zh-CN"/>
        </w:rPr>
        <w:t>第四节 加强山水林田湖草治理修复</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_Toc656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46</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5EFB4773">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"_Toc9028" </w:instrText>
      </w:r>
      <w:r>
        <w:fldChar w:fldCharType="separate"/>
      </w:r>
      <w:r>
        <w:rPr>
          <w:rFonts w:hint="eastAsia" w:ascii="仿宋_GB2312" w:hAnsi="仿宋_GB2312" w:eastAsia="仿宋_GB2312" w:cs="仿宋_GB2312"/>
          <w:kern w:val="0"/>
          <w:szCs w:val="32"/>
          <w:lang w:val="zh-CN"/>
        </w:rPr>
        <w:t>第五节 提升国土绿化与碳汇能力</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_Toc9028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49</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6E981146">
      <w:pPr>
        <w:pStyle w:val="20"/>
        <w:tabs>
          <w:tab w:val="right" w:leader="dot" w:pos="8561"/>
        </w:tabs>
        <w:spacing w:line="560" w:lineRule="atLeast"/>
        <w:ind w:firstLine="640"/>
        <w:rPr>
          <w:rFonts w:ascii="黑体" w:hAnsi="黑体" w:cs="仿宋_GB2312"/>
          <w:kern w:val="0"/>
          <w:szCs w:val="32"/>
        </w:rPr>
      </w:pPr>
      <w:r>
        <w:fldChar w:fldCharType="begin"/>
      </w:r>
      <w:r>
        <w:instrText xml:space="preserve"> HYPERLINK \l "_Toc4157" </w:instrText>
      </w:r>
      <w:r>
        <w:fldChar w:fldCharType="separate"/>
      </w:r>
      <w:r>
        <w:rPr>
          <w:rFonts w:ascii="黑体" w:hAnsi="黑体" w:cs="仿宋_GB2312"/>
          <w:kern w:val="0"/>
          <w:szCs w:val="32"/>
          <w:lang w:val="zh-CN"/>
        </w:rPr>
        <w:t>第六章 塑造功能完善的宜人城镇空间</w:t>
      </w:r>
      <w:r>
        <w:rPr>
          <w:rFonts w:ascii="黑体" w:hAnsi="黑体" w:cs="仿宋_GB2312"/>
          <w:kern w:val="0"/>
          <w:szCs w:val="32"/>
          <w:lang w:val="zh-CN"/>
        </w:rPr>
        <w:tab/>
      </w:r>
      <w:r>
        <w:rPr>
          <w:rFonts w:ascii="Times New Roman" w:hAnsi="Times New Roman"/>
          <w:b/>
          <w:bCs/>
          <w:kern w:val="0"/>
          <w:szCs w:val="32"/>
          <w:lang w:val="zh-CN"/>
        </w:rPr>
        <w:fldChar w:fldCharType="begin"/>
      </w:r>
      <w:r>
        <w:rPr>
          <w:rFonts w:ascii="Times New Roman" w:hAnsi="Times New Roman"/>
          <w:b/>
          <w:bCs/>
          <w:kern w:val="0"/>
          <w:szCs w:val="32"/>
          <w:lang w:val="zh-CN"/>
        </w:rPr>
        <w:instrText xml:space="preserve"> PAGEREF _Toc4157 \h </w:instrText>
      </w:r>
      <w:r>
        <w:rPr>
          <w:rFonts w:ascii="Times New Roman" w:hAnsi="Times New Roman"/>
          <w:b/>
          <w:bCs/>
          <w:kern w:val="0"/>
          <w:szCs w:val="32"/>
          <w:lang w:val="zh-CN"/>
        </w:rPr>
        <w:fldChar w:fldCharType="separate"/>
      </w:r>
      <w:r>
        <w:rPr>
          <w:rFonts w:ascii="Times New Roman" w:hAnsi="Times New Roman"/>
          <w:b/>
          <w:bCs/>
          <w:kern w:val="0"/>
          <w:szCs w:val="32"/>
          <w:lang w:val="zh-CN"/>
        </w:rPr>
        <w:t>51</w:t>
      </w:r>
      <w:r>
        <w:rPr>
          <w:rFonts w:ascii="Times New Roman" w:hAnsi="Times New Roman"/>
          <w:b/>
          <w:bCs/>
          <w:kern w:val="0"/>
          <w:szCs w:val="32"/>
          <w:lang w:val="zh-CN"/>
        </w:rPr>
        <w:fldChar w:fldCharType="end"/>
      </w:r>
      <w:r>
        <w:rPr>
          <w:rFonts w:ascii="Times New Roman" w:hAnsi="Times New Roman"/>
          <w:b/>
          <w:bCs/>
          <w:kern w:val="0"/>
          <w:szCs w:val="32"/>
          <w:lang w:val="zh-CN"/>
        </w:rPr>
        <w:fldChar w:fldCharType="end"/>
      </w:r>
    </w:p>
    <w:p w14:paraId="518F298B">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"_Toc2162" </w:instrText>
      </w:r>
      <w:r>
        <w:fldChar w:fldCharType="separate"/>
      </w:r>
      <w:r>
        <w:rPr>
          <w:rFonts w:hint="eastAsia" w:ascii="仿宋_GB2312" w:hAnsi="仿宋_GB2312" w:eastAsia="仿宋_GB2312" w:cs="仿宋_GB2312"/>
          <w:kern w:val="0"/>
          <w:szCs w:val="32"/>
          <w:lang w:val="zh-CN"/>
        </w:rPr>
        <w:t>第一节 构建合理有序的城镇体系</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_Toc2162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51</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3F74E91B">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"_Toc11171" </w:instrText>
      </w:r>
      <w:r>
        <w:fldChar w:fldCharType="separate"/>
      </w:r>
      <w:r>
        <w:rPr>
          <w:rFonts w:hint="eastAsia" w:ascii="仿宋_GB2312" w:hAnsi="仿宋_GB2312" w:eastAsia="仿宋_GB2312" w:cs="仿宋_GB2312"/>
          <w:kern w:val="0"/>
          <w:szCs w:val="32"/>
          <w:lang w:val="zh-CN"/>
        </w:rPr>
        <w:t>第二节 完善公共服务体系</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_Toc11171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52</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13B71C04">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"_Toc789" </w:instrText>
      </w:r>
      <w:r>
        <w:fldChar w:fldCharType="separate"/>
      </w:r>
      <w:r>
        <w:rPr>
          <w:rFonts w:hint="eastAsia" w:ascii="仿宋_GB2312" w:hAnsi="仿宋_GB2312" w:eastAsia="仿宋_GB2312" w:cs="仿宋_GB2312"/>
          <w:kern w:val="0"/>
          <w:szCs w:val="32"/>
          <w:lang w:val="zh-CN"/>
        </w:rPr>
        <w:t>第三节 优化全域产业发展空间布局</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_Toc789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61</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419757C4">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"_Toc19551" </w:instrText>
      </w:r>
      <w:r>
        <w:fldChar w:fldCharType="separate"/>
      </w:r>
      <w:r>
        <w:rPr>
          <w:rFonts w:hint="eastAsia" w:ascii="仿宋_GB2312" w:hAnsi="仿宋_GB2312" w:eastAsia="仿宋_GB2312" w:cs="仿宋_GB2312"/>
          <w:kern w:val="0"/>
          <w:szCs w:val="32"/>
          <w:lang w:val="zh-CN"/>
        </w:rPr>
        <w:t>第四节 节约高效利用土地资源</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_Toc19551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66</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1D936DD2">
      <w:pPr>
        <w:pStyle w:val="20"/>
        <w:tabs>
          <w:tab w:val="right" w:leader="dot" w:pos="8561"/>
        </w:tabs>
        <w:spacing w:line="560" w:lineRule="atLeast"/>
        <w:ind w:firstLine="640"/>
      </w:pPr>
      <w:r>
        <w:fldChar w:fldCharType="begin"/>
      </w:r>
      <w:r>
        <w:instrText xml:space="preserve"> HYPERLINK \l "_Toc2447" </w:instrText>
      </w:r>
      <w:r>
        <w:fldChar w:fldCharType="separate"/>
      </w:r>
      <w:r>
        <w:rPr>
          <w:rFonts w:ascii="黑体" w:hAnsi="黑体" w:cs="仿宋_GB2312"/>
          <w:kern w:val="0"/>
          <w:szCs w:val="32"/>
          <w:lang w:val="zh-CN"/>
        </w:rPr>
        <w:t>第七章 中心城区规划</w:t>
      </w:r>
      <w:r>
        <w:rPr>
          <w:rFonts w:ascii="黑体" w:hAnsi="黑体" w:cs="仿宋_GB2312"/>
          <w:kern w:val="0"/>
          <w:szCs w:val="32"/>
          <w:lang w:val="zh-CN"/>
        </w:rPr>
        <w:tab/>
      </w:r>
      <w:r>
        <w:rPr>
          <w:rFonts w:ascii="Times New Roman" w:hAnsi="Times New Roman"/>
          <w:bCs/>
          <w:szCs w:val="32"/>
        </w:rPr>
        <w:fldChar w:fldCharType="begin"/>
      </w:r>
      <w:r>
        <w:rPr>
          <w:rFonts w:ascii="Times New Roman" w:hAnsi="Times New Roman"/>
          <w:bCs/>
          <w:szCs w:val="32"/>
        </w:rPr>
        <w:instrText xml:space="preserve"> PAGEREF _Toc2447 \h </w:instrText>
      </w:r>
      <w:r>
        <w:rPr>
          <w:rFonts w:ascii="Times New Roman" w:hAnsi="Times New Roman"/>
          <w:bCs/>
          <w:szCs w:val="32"/>
        </w:rPr>
        <w:fldChar w:fldCharType="separate"/>
      </w:r>
      <w:r>
        <w:rPr>
          <w:rFonts w:ascii="Times New Roman" w:hAnsi="Times New Roman"/>
          <w:bCs/>
          <w:szCs w:val="32"/>
        </w:rPr>
        <w:t>68</w:t>
      </w:r>
      <w:r>
        <w:rPr>
          <w:rFonts w:ascii="Times New Roman" w:hAnsi="Times New Roman"/>
          <w:bCs/>
          <w:szCs w:val="32"/>
        </w:rPr>
        <w:fldChar w:fldCharType="end"/>
      </w:r>
      <w:r>
        <w:rPr>
          <w:rFonts w:ascii="Times New Roman" w:hAnsi="Times New Roman"/>
          <w:bCs/>
          <w:szCs w:val="32"/>
        </w:rPr>
        <w:fldChar w:fldCharType="end"/>
      </w:r>
    </w:p>
    <w:p w14:paraId="63A44817">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"_Toc12041" </w:instrText>
      </w:r>
      <w:r>
        <w:fldChar w:fldCharType="separate"/>
      </w:r>
      <w:r>
        <w:rPr>
          <w:rFonts w:hint="eastAsia" w:ascii="仿宋_GB2312" w:hAnsi="仿宋_GB2312" w:eastAsia="仿宋_GB2312" w:cs="仿宋_GB2312"/>
          <w:kern w:val="0"/>
          <w:szCs w:val="32"/>
          <w:lang w:val="zh-CN"/>
        </w:rPr>
        <w:t>第一节 中心城区范围与规模</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_Toc12041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68</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7FE99CBC">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"_Toc28392" </w:instrText>
      </w:r>
      <w:r>
        <w:fldChar w:fldCharType="separate"/>
      </w:r>
      <w:r>
        <w:rPr>
          <w:rFonts w:hint="eastAsia" w:ascii="仿宋_GB2312" w:hAnsi="仿宋_GB2312" w:eastAsia="仿宋_GB2312" w:cs="仿宋_GB2312"/>
          <w:kern w:val="0"/>
          <w:szCs w:val="32"/>
          <w:lang w:val="zh-CN"/>
        </w:rPr>
        <w:t>第二节 中心城区空间结构及用地布局优化</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_Toc28392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68</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3C816854">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"_Toc2063" </w:instrText>
      </w:r>
      <w:r>
        <w:fldChar w:fldCharType="separate"/>
      </w:r>
      <w:r>
        <w:rPr>
          <w:rFonts w:hint="eastAsia" w:ascii="仿宋_GB2312" w:hAnsi="仿宋_GB2312" w:eastAsia="仿宋_GB2312" w:cs="仿宋_GB2312"/>
          <w:kern w:val="0"/>
          <w:szCs w:val="32"/>
          <w:lang w:val="zh-CN"/>
        </w:rPr>
        <w:t>第三节 优化中心城区设施布局</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_Toc2063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73</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11F4EF39">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"_Toc13631" </w:instrText>
      </w:r>
      <w:r>
        <w:fldChar w:fldCharType="separate"/>
      </w:r>
      <w:r>
        <w:rPr>
          <w:rFonts w:hint="eastAsia" w:ascii="仿宋_GB2312" w:hAnsi="仿宋_GB2312" w:eastAsia="仿宋_GB2312" w:cs="仿宋_GB2312"/>
          <w:kern w:val="0"/>
          <w:szCs w:val="32"/>
          <w:lang w:val="zh-CN"/>
        </w:rPr>
        <w:t>第四节 城市公共绿地与开敞空间</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_Toc13631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77</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0EBDB01C">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"_Toc31476" </w:instrText>
      </w:r>
      <w:r>
        <w:fldChar w:fldCharType="separate"/>
      </w:r>
      <w:r>
        <w:rPr>
          <w:rFonts w:hint="eastAsia" w:ascii="仿宋_GB2312" w:hAnsi="仿宋_GB2312" w:eastAsia="仿宋_GB2312" w:cs="仿宋_GB2312"/>
          <w:kern w:val="0"/>
          <w:szCs w:val="32"/>
          <w:lang w:val="zh-CN"/>
        </w:rPr>
        <w:t>第五节 城市景观风貌设计与开发强度控制</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_Toc31476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79</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0A547F01">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"_Toc23672" </w:instrText>
      </w:r>
      <w:r>
        <w:fldChar w:fldCharType="separate"/>
      </w:r>
      <w:r>
        <w:rPr>
          <w:rFonts w:hint="eastAsia" w:ascii="仿宋_GB2312" w:hAnsi="仿宋_GB2312" w:eastAsia="仿宋_GB2312" w:cs="仿宋_GB2312"/>
          <w:kern w:val="0"/>
          <w:szCs w:val="32"/>
          <w:lang w:val="zh-CN"/>
        </w:rPr>
        <w:t>第六节 城市四线划定与管控</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_Toc23672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82</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147E9F72">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"_Toc4272" </w:instrText>
      </w:r>
      <w:r>
        <w:fldChar w:fldCharType="separate"/>
      </w:r>
      <w:r>
        <w:rPr>
          <w:rFonts w:hint="eastAsia" w:ascii="仿宋_GB2312" w:hAnsi="仿宋_GB2312" w:eastAsia="仿宋_GB2312" w:cs="仿宋_GB2312"/>
          <w:kern w:val="0"/>
          <w:szCs w:val="32"/>
          <w:lang w:val="zh-CN"/>
        </w:rPr>
        <w:t>第七节 中心城区城市地下空间规划</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_Toc4272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83</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7E393B7B">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"_Toc22447" </w:instrText>
      </w:r>
      <w:r>
        <w:fldChar w:fldCharType="separate"/>
      </w:r>
      <w:r>
        <w:rPr>
          <w:rFonts w:hint="eastAsia" w:ascii="仿宋_GB2312" w:hAnsi="仿宋_GB2312" w:eastAsia="仿宋_GB2312" w:cs="仿宋_GB2312"/>
          <w:kern w:val="0"/>
          <w:szCs w:val="32"/>
          <w:lang w:val="zh-CN"/>
        </w:rPr>
        <w:t>第八节 中心城区城市更新</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_Toc22447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84</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4294B403">
      <w:pPr>
        <w:pStyle w:val="20"/>
        <w:tabs>
          <w:tab w:val="right" w:leader="dot" w:pos="8561"/>
        </w:tabs>
        <w:spacing w:line="560" w:lineRule="atLeast"/>
        <w:ind w:firstLine="640"/>
      </w:pPr>
      <w:r>
        <w:fldChar w:fldCharType="begin"/>
      </w:r>
      <w:r>
        <w:instrText xml:space="preserve"> HYPERLINK \l "_Toc19947" </w:instrText>
      </w:r>
      <w:r>
        <w:fldChar w:fldCharType="separate"/>
      </w:r>
      <w:r>
        <w:rPr>
          <w:rFonts w:ascii="黑体" w:hAnsi="黑体" w:cs="仿宋_GB2312"/>
          <w:kern w:val="0"/>
          <w:szCs w:val="32"/>
          <w:lang w:val="zh-CN"/>
        </w:rPr>
        <w:t>第八章 历史文化保护与城乡风貌</w:t>
      </w:r>
      <w:r>
        <w:rPr>
          <w:rFonts w:ascii="黑体" w:hAnsi="黑体" w:cs="仿宋_GB2312"/>
          <w:kern w:val="0"/>
          <w:szCs w:val="32"/>
          <w:lang w:val="zh-CN"/>
        </w:rPr>
        <w:tab/>
      </w:r>
      <w:r>
        <w:rPr>
          <w:rFonts w:ascii="Times New Roman" w:hAnsi="Times New Roman"/>
          <w:b/>
          <w:bCs/>
          <w:kern w:val="0"/>
          <w:szCs w:val="32"/>
          <w:lang w:val="zh-CN"/>
        </w:rPr>
        <w:fldChar w:fldCharType="begin"/>
      </w:r>
      <w:r>
        <w:rPr>
          <w:rFonts w:ascii="Times New Roman" w:hAnsi="Times New Roman"/>
          <w:b/>
          <w:bCs/>
          <w:kern w:val="0"/>
          <w:szCs w:val="32"/>
          <w:lang w:val="zh-CN"/>
        </w:rPr>
        <w:instrText xml:space="preserve"> PAGEREF _Toc19947 \h </w:instrText>
      </w:r>
      <w:r>
        <w:rPr>
          <w:rFonts w:ascii="Times New Roman" w:hAnsi="Times New Roman"/>
          <w:b/>
          <w:bCs/>
          <w:kern w:val="0"/>
          <w:szCs w:val="32"/>
          <w:lang w:val="zh-CN"/>
        </w:rPr>
        <w:fldChar w:fldCharType="separate"/>
      </w:r>
      <w:r>
        <w:rPr>
          <w:rFonts w:ascii="Times New Roman" w:hAnsi="Times New Roman"/>
          <w:b/>
          <w:bCs/>
          <w:kern w:val="0"/>
          <w:szCs w:val="32"/>
          <w:lang w:val="zh-CN"/>
        </w:rPr>
        <w:t>86</w:t>
      </w:r>
      <w:r>
        <w:rPr>
          <w:rFonts w:ascii="Times New Roman" w:hAnsi="Times New Roman"/>
          <w:b/>
          <w:bCs/>
          <w:kern w:val="0"/>
          <w:szCs w:val="32"/>
          <w:lang w:val="zh-CN"/>
        </w:rPr>
        <w:fldChar w:fldCharType="end"/>
      </w:r>
      <w:r>
        <w:rPr>
          <w:rFonts w:ascii="Times New Roman" w:hAnsi="Times New Roman"/>
          <w:b/>
          <w:bCs/>
          <w:kern w:val="0"/>
          <w:szCs w:val="32"/>
          <w:lang w:val="zh-CN"/>
        </w:rPr>
        <w:fldChar w:fldCharType="end"/>
      </w:r>
    </w:p>
    <w:p w14:paraId="2B5D338B">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"_Toc26365" </w:instrText>
      </w:r>
      <w:r>
        <w:fldChar w:fldCharType="separate"/>
      </w:r>
      <w:r>
        <w:rPr>
          <w:rFonts w:hint="eastAsia" w:ascii="仿宋_GB2312" w:hAnsi="仿宋_GB2312" w:eastAsia="仿宋_GB2312" w:cs="仿宋_GB2312"/>
          <w:kern w:val="0"/>
          <w:szCs w:val="32"/>
          <w:lang w:val="zh-CN"/>
        </w:rPr>
        <w:t>第一节 历史文化遗产保护与利用</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_Toc26365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86</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2C686C57">
      <w:pPr>
        <w:pStyle w:val="24"/>
        <w:widowControl/>
        <w:tabs>
          <w:tab w:val="right" w:leader="dot" w:pos="8561"/>
        </w:tabs>
        <w:adjustRightInd/>
        <w:spacing w:line="560" w:lineRule="atLeast"/>
        <w:ind w:left="640" w:leftChars="200" w:firstLine="640"/>
        <w:jc w:val="both"/>
      </w:pPr>
      <w:r>
        <w:fldChar w:fldCharType="begin"/>
      </w:r>
      <w:r>
        <w:instrText xml:space="preserve"> HYPERLINK \l "_Toc20516" </w:instrText>
      </w:r>
      <w:r>
        <w:fldChar w:fldCharType="separate"/>
      </w:r>
      <w:r>
        <w:rPr>
          <w:rFonts w:hint="eastAsia" w:ascii="仿宋_GB2312" w:hAnsi="仿宋_GB2312" w:eastAsia="仿宋_GB2312" w:cs="仿宋_GB2312"/>
          <w:kern w:val="0"/>
          <w:szCs w:val="32"/>
          <w:lang w:val="zh-CN"/>
        </w:rPr>
        <w:t>第二节 城乡风貌体系建设</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_Toc20516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91</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0881E023">
      <w:pPr>
        <w:pStyle w:val="20"/>
        <w:tabs>
          <w:tab w:val="right" w:leader="dot" w:pos="8561"/>
        </w:tabs>
        <w:spacing w:line="560" w:lineRule="atLeast"/>
        <w:ind w:firstLine="640"/>
      </w:pPr>
      <w:r>
        <w:fldChar w:fldCharType="begin"/>
      </w:r>
      <w:r>
        <w:instrText xml:space="preserve"> HYPERLINK \l "_Toc16519" </w:instrText>
      </w:r>
      <w:r>
        <w:fldChar w:fldCharType="separate"/>
      </w:r>
      <w:r>
        <w:rPr>
          <w:rFonts w:ascii="黑体" w:hAnsi="黑体" w:cs="仿宋_GB2312"/>
          <w:kern w:val="0"/>
          <w:szCs w:val="32"/>
          <w:lang w:val="zh-CN"/>
        </w:rPr>
        <w:t>第九章 增强空间支撑体系保障能力</w:t>
      </w:r>
      <w:r>
        <w:rPr>
          <w:rFonts w:ascii="黑体" w:hAnsi="黑体" w:cs="仿宋_GB2312"/>
          <w:kern w:val="0"/>
          <w:szCs w:val="32"/>
          <w:lang w:val="zh-CN"/>
        </w:rPr>
        <w:tab/>
      </w:r>
      <w:r>
        <w:rPr>
          <w:rFonts w:ascii="Times New Roman" w:hAnsi="Times New Roman"/>
          <w:b/>
          <w:bCs/>
          <w:kern w:val="0"/>
          <w:szCs w:val="32"/>
          <w:lang w:val="zh-CN"/>
        </w:rPr>
        <w:fldChar w:fldCharType="begin"/>
      </w:r>
      <w:r>
        <w:rPr>
          <w:rFonts w:ascii="Times New Roman" w:hAnsi="Times New Roman"/>
          <w:b/>
          <w:bCs/>
          <w:kern w:val="0"/>
          <w:szCs w:val="32"/>
          <w:lang w:val="zh-CN"/>
        </w:rPr>
        <w:instrText xml:space="preserve"> PAGEREF _Toc16519 \h </w:instrText>
      </w:r>
      <w:r>
        <w:rPr>
          <w:rFonts w:ascii="Times New Roman" w:hAnsi="Times New Roman"/>
          <w:b/>
          <w:bCs/>
          <w:kern w:val="0"/>
          <w:szCs w:val="32"/>
          <w:lang w:val="zh-CN"/>
        </w:rPr>
        <w:fldChar w:fldCharType="separate"/>
      </w:r>
      <w:r>
        <w:rPr>
          <w:rFonts w:ascii="Times New Roman" w:hAnsi="Times New Roman"/>
          <w:b/>
          <w:bCs/>
          <w:kern w:val="0"/>
          <w:szCs w:val="32"/>
          <w:lang w:val="zh-CN"/>
        </w:rPr>
        <w:t>98</w:t>
      </w:r>
      <w:r>
        <w:rPr>
          <w:rFonts w:ascii="Times New Roman" w:hAnsi="Times New Roman"/>
          <w:b/>
          <w:bCs/>
          <w:kern w:val="0"/>
          <w:szCs w:val="32"/>
          <w:lang w:val="zh-CN"/>
        </w:rPr>
        <w:fldChar w:fldCharType="end"/>
      </w:r>
      <w:r>
        <w:rPr>
          <w:rFonts w:ascii="Times New Roman" w:hAnsi="Times New Roman"/>
          <w:b/>
          <w:bCs/>
          <w:kern w:val="0"/>
          <w:szCs w:val="32"/>
          <w:lang w:val="zh-CN"/>
        </w:rPr>
        <w:fldChar w:fldCharType="end"/>
      </w:r>
    </w:p>
    <w:p w14:paraId="519D8C3B">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"_Toc20745" </w:instrText>
      </w:r>
      <w:r>
        <w:fldChar w:fldCharType="separate"/>
      </w:r>
      <w:r>
        <w:rPr>
          <w:rFonts w:hint="eastAsia" w:ascii="仿宋_GB2312" w:hAnsi="仿宋_GB2312" w:eastAsia="仿宋_GB2312" w:cs="仿宋_GB2312"/>
          <w:kern w:val="0"/>
          <w:szCs w:val="32"/>
          <w:lang w:val="zh-CN"/>
        </w:rPr>
        <w:t>第一节 构筑县域综合交通体系</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_Toc20745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98</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14183D7A">
      <w:pPr>
        <w:pStyle w:val="24"/>
        <w:widowControl/>
        <w:tabs>
          <w:tab w:val="right" w:leader="dot" w:pos="8561"/>
        </w:tabs>
        <w:adjustRightInd/>
        <w:spacing w:line="560" w:lineRule="atLeast"/>
        <w:ind w:left="640" w:leftChars="200" w:firstLine="640"/>
        <w:jc w:val="both"/>
      </w:pPr>
      <w:r>
        <w:fldChar w:fldCharType="begin"/>
      </w:r>
      <w:r>
        <w:instrText xml:space="preserve"> HYPERLINK \l "_Toc2805" </w:instrText>
      </w:r>
      <w:r>
        <w:fldChar w:fldCharType="separate"/>
      </w:r>
      <w:r>
        <w:rPr>
          <w:rFonts w:hint="eastAsia" w:ascii="仿宋_GB2312" w:hAnsi="仿宋_GB2312" w:eastAsia="仿宋_GB2312" w:cs="仿宋_GB2312"/>
          <w:kern w:val="0"/>
          <w:szCs w:val="32"/>
          <w:lang w:val="zh-CN"/>
        </w:rPr>
        <w:t>第二节 中心城区综合交通规划</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_Toc2805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103</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1A0F7C6F">
      <w:pPr>
        <w:pStyle w:val="20"/>
        <w:tabs>
          <w:tab w:val="right" w:leader="dot" w:pos="8561"/>
        </w:tabs>
        <w:spacing w:line="560" w:lineRule="atLeast"/>
        <w:ind w:firstLine="640"/>
      </w:pPr>
      <w:r>
        <w:fldChar w:fldCharType="begin"/>
      </w:r>
      <w:r>
        <w:instrText xml:space="preserve"> HYPERLINK \l "_Toc10629" </w:instrText>
      </w:r>
      <w:r>
        <w:fldChar w:fldCharType="separate"/>
      </w:r>
      <w:r>
        <w:rPr>
          <w:rFonts w:ascii="黑体" w:hAnsi="黑体" w:cs="仿宋_GB2312"/>
          <w:kern w:val="0"/>
          <w:szCs w:val="32"/>
          <w:lang w:val="zh-CN"/>
        </w:rPr>
        <w:t>第十章 完善市政基础设施和综合防灾体系</w:t>
      </w:r>
      <w:r>
        <w:rPr>
          <w:rFonts w:ascii="黑体" w:hAnsi="黑体" w:cs="仿宋_GB2312"/>
          <w:kern w:val="0"/>
          <w:szCs w:val="32"/>
          <w:lang w:val="zh-CN"/>
        </w:rPr>
        <w:tab/>
      </w:r>
      <w:r>
        <w:rPr>
          <w:rFonts w:ascii="Times New Roman" w:hAnsi="Times New Roman"/>
          <w:b/>
          <w:bCs/>
          <w:kern w:val="0"/>
          <w:szCs w:val="32"/>
          <w:lang w:val="zh-CN"/>
        </w:rPr>
        <w:fldChar w:fldCharType="begin"/>
      </w:r>
      <w:r>
        <w:rPr>
          <w:rFonts w:ascii="Times New Roman" w:hAnsi="Times New Roman"/>
          <w:b/>
          <w:bCs/>
          <w:kern w:val="0"/>
          <w:szCs w:val="32"/>
          <w:lang w:val="zh-CN"/>
        </w:rPr>
        <w:instrText xml:space="preserve"> PAGEREF _Toc10629 \h </w:instrText>
      </w:r>
      <w:r>
        <w:rPr>
          <w:rFonts w:ascii="Times New Roman" w:hAnsi="Times New Roman"/>
          <w:b/>
          <w:bCs/>
          <w:kern w:val="0"/>
          <w:szCs w:val="32"/>
          <w:lang w:val="zh-CN"/>
        </w:rPr>
        <w:fldChar w:fldCharType="separate"/>
      </w:r>
      <w:r>
        <w:rPr>
          <w:rFonts w:ascii="Times New Roman" w:hAnsi="Times New Roman"/>
          <w:b/>
          <w:bCs/>
          <w:kern w:val="0"/>
          <w:szCs w:val="32"/>
          <w:lang w:val="zh-CN"/>
        </w:rPr>
        <w:t>106</w:t>
      </w:r>
      <w:r>
        <w:rPr>
          <w:rFonts w:ascii="Times New Roman" w:hAnsi="Times New Roman"/>
          <w:b/>
          <w:bCs/>
          <w:kern w:val="0"/>
          <w:szCs w:val="32"/>
          <w:lang w:val="zh-CN"/>
        </w:rPr>
        <w:fldChar w:fldCharType="end"/>
      </w:r>
      <w:r>
        <w:rPr>
          <w:rFonts w:ascii="Times New Roman" w:hAnsi="Times New Roman"/>
          <w:b/>
          <w:bCs/>
          <w:kern w:val="0"/>
          <w:szCs w:val="32"/>
          <w:lang w:val="zh-CN"/>
        </w:rPr>
        <w:fldChar w:fldCharType="end"/>
      </w:r>
    </w:p>
    <w:p w14:paraId="7DF6B0F1">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"_Toc31945" </w:instrText>
      </w:r>
      <w:r>
        <w:fldChar w:fldCharType="separate"/>
      </w:r>
      <w:r>
        <w:rPr>
          <w:rFonts w:hint="eastAsia" w:ascii="仿宋_GB2312" w:hAnsi="仿宋_GB2312" w:eastAsia="仿宋_GB2312" w:cs="仿宋_GB2312"/>
          <w:kern w:val="0"/>
          <w:szCs w:val="32"/>
          <w:lang w:val="zh-CN"/>
        </w:rPr>
        <w:t>第一节 构建县域市政公用设施体系</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_Toc31945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106</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52701E52">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"_Toc31315" </w:instrText>
      </w:r>
      <w:r>
        <w:fldChar w:fldCharType="separate"/>
      </w:r>
      <w:r>
        <w:rPr>
          <w:rFonts w:hint="eastAsia" w:ascii="仿宋_GB2312" w:hAnsi="仿宋_GB2312" w:eastAsia="仿宋_GB2312" w:cs="仿宋_GB2312"/>
          <w:kern w:val="0"/>
          <w:szCs w:val="32"/>
          <w:lang w:val="zh-CN"/>
        </w:rPr>
        <w:t>第二节 优化中心城区市政公用设施体系</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_Toc31315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111</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5BF01013">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"_Toc20260" </w:instrText>
      </w:r>
      <w:r>
        <w:fldChar w:fldCharType="separate"/>
      </w:r>
      <w:r>
        <w:rPr>
          <w:rFonts w:hint="eastAsia" w:ascii="仿宋_GB2312" w:hAnsi="仿宋_GB2312" w:eastAsia="仿宋_GB2312" w:cs="仿宋_GB2312"/>
          <w:kern w:val="0"/>
          <w:szCs w:val="32"/>
          <w:lang w:val="zh-CN"/>
        </w:rPr>
        <w:t>第三节 构建安全韧性的综合防灾减灾体系</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_Toc20260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114</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13794D64">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"_Toc3606" </w:instrText>
      </w:r>
      <w:r>
        <w:fldChar w:fldCharType="separate"/>
      </w:r>
      <w:r>
        <w:rPr>
          <w:rFonts w:hint="eastAsia" w:ascii="仿宋_GB2312" w:hAnsi="仿宋_GB2312" w:eastAsia="仿宋_GB2312" w:cs="仿宋_GB2312"/>
          <w:kern w:val="0"/>
          <w:szCs w:val="32"/>
          <w:lang w:val="zh-CN"/>
        </w:rPr>
        <w:t>第四节 中心城区综合防灾减灾规划</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_Toc3606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124</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75924F75">
      <w:pPr>
        <w:pStyle w:val="20"/>
        <w:tabs>
          <w:tab w:val="right" w:leader="dot" w:pos="8561"/>
        </w:tabs>
        <w:spacing w:line="560" w:lineRule="atLeast"/>
        <w:ind w:firstLine="640"/>
      </w:pPr>
      <w:r>
        <w:fldChar w:fldCharType="begin"/>
      </w:r>
      <w:r>
        <w:instrText xml:space="preserve"> HYPERLINK \l "_Toc26620" </w:instrText>
      </w:r>
      <w:r>
        <w:fldChar w:fldCharType="separate"/>
      </w:r>
      <w:r>
        <w:rPr>
          <w:rFonts w:ascii="黑体" w:hAnsi="黑体" w:cs="仿宋_GB2312"/>
          <w:kern w:val="0"/>
          <w:szCs w:val="32"/>
          <w:lang w:val="zh-CN"/>
        </w:rPr>
        <w:t>第十一章 国土空间区域协同发展</w:t>
      </w:r>
      <w:r>
        <w:rPr>
          <w:rFonts w:ascii="黑体" w:hAnsi="黑体" w:cs="仿宋_GB2312"/>
          <w:kern w:val="0"/>
          <w:szCs w:val="32"/>
          <w:lang w:val="zh-CN"/>
        </w:rPr>
        <w:tab/>
      </w:r>
      <w:r>
        <w:rPr>
          <w:rFonts w:ascii="Times New Roman" w:hAnsi="Times New Roman"/>
          <w:b/>
          <w:bCs/>
          <w:kern w:val="0"/>
          <w:szCs w:val="32"/>
          <w:lang w:val="zh-CN"/>
        </w:rPr>
        <w:fldChar w:fldCharType="begin"/>
      </w:r>
      <w:r>
        <w:rPr>
          <w:rFonts w:ascii="Times New Roman" w:hAnsi="Times New Roman"/>
          <w:b/>
          <w:bCs/>
          <w:kern w:val="0"/>
          <w:szCs w:val="32"/>
          <w:lang w:val="zh-CN"/>
        </w:rPr>
        <w:instrText xml:space="preserve"> PAGEREF _Toc26620 \h </w:instrText>
      </w:r>
      <w:r>
        <w:rPr>
          <w:rFonts w:ascii="Times New Roman" w:hAnsi="Times New Roman"/>
          <w:b/>
          <w:bCs/>
          <w:kern w:val="0"/>
          <w:szCs w:val="32"/>
          <w:lang w:val="zh-CN"/>
        </w:rPr>
        <w:fldChar w:fldCharType="separate"/>
      </w:r>
      <w:r>
        <w:rPr>
          <w:rFonts w:ascii="Times New Roman" w:hAnsi="Times New Roman"/>
          <w:b/>
          <w:bCs/>
          <w:kern w:val="0"/>
          <w:szCs w:val="32"/>
          <w:lang w:val="zh-CN"/>
        </w:rPr>
        <w:t>128</w:t>
      </w:r>
      <w:r>
        <w:rPr>
          <w:rFonts w:ascii="Times New Roman" w:hAnsi="Times New Roman"/>
          <w:b/>
          <w:bCs/>
          <w:kern w:val="0"/>
          <w:szCs w:val="32"/>
          <w:lang w:val="zh-CN"/>
        </w:rPr>
        <w:fldChar w:fldCharType="end"/>
      </w:r>
      <w:r>
        <w:rPr>
          <w:rFonts w:ascii="Times New Roman" w:hAnsi="Times New Roman"/>
          <w:b/>
          <w:bCs/>
          <w:kern w:val="0"/>
          <w:szCs w:val="32"/>
          <w:lang w:val="zh-CN"/>
        </w:rPr>
        <w:fldChar w:fldCharType="end"/>
      </w:r>
    </w:p>
    <w:p w14:paraId="6E540480">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"_Toc26952" </w:instrText>
      </w:r>
      <w:r>
        <w:fldChar w:fldCharType="separate"/>
      </w:r>
      <w:r>
        <w:rPr>
          <w:rFonts w:hint="eastAsia" w:ascii="仿宋_GB2312" w:hAnsi="仿宋_GB2312" w:eastAsia="仿宋_GB2312" w:cs="仿宋_GB2312"/>
          <w:kern w:val="0"/>
          <w:szCs w:val="32"/>
          <w:lang w:val="zh-CN"/>
        </w:rPr>
        <w:t>第一节 积极融入武汉都市圈发展</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_Toc26952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128</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697D4D9D">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"_Toc32474" </w:instrText>
      </w:r>
      <w:r>
        <w:fldChar w:fldCharType="separate"/>
      </w:r>
      <w:r>
        <w:rPr>
          <w:rFonts w:hint="eastAsia" w:ascii="仿宋_GB2312" w:hAnsi="仿宋_GB2312" w:eastAsia="仿宋_GB2312" w:cs="仿宋_GB2312"/>
          <w:kern w:val="0"/>
          <w:szCs w:val="32"/>
          <w:lang w:val="zh-CN"/>
        </w:rPr>
        <w:t>第二节 加强县市区域合作，协同咸宁市域发展</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_Toc32474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129</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03592A9B">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"_Toc24185" </w:instrText>
      </w:r>
      <w:r>
        <w:fldChar w:fldCharType="separate"/>
      </w:r>
      <w:r>
        <w:rPr>
          <w:rFonts w:hint="eastAsia" w:ascii="仿宋_GB2312" w:hAnsi="仿宋_GB2312" w:eastAsia="仿宋_GB2312" w:cs="仿宋_GB2312"/>
          <w:kern w:val="0"/>
          <w:szCs w:val="32"/>
          <w:lang w:val="zh-CN"/>
        </w:rPr>
        <w:t>第三节 加强融入湘鄂赣省际协调发展</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_Toc24185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130</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07EF46B1">
      <w:pPr>
        <w:pStyle w:val="20"/>
        <w:tabs>
          <w:tab w:val="right" w:leader="dot" w:pos="8561"/>
        </w:tabs>
        <w:spacing w:line="560" w:lineRule="atLeast"/>
        <w:ind w:firstLine="640"/>
      </w:pPr>
      <w:r>
        <w:fldChar w:fldCharType="begin"/>
      </w:r>
      <w:r>
        <w:instrText xml:space="preserve"> HYPERLINK \l "_Toc22667" </w:instrText>
      </w:r>
      <w:r>
        <w:fldChar w:fldCharType="separate"/>
      </w:r>
      <w:r>
        <w:rPr>
          <w:rFonts w:ascii="黑体" w:hAnsi="黑体" w:cs="仿宋_GB2312"/>
          <w:kern w:val="0"/>
          <w:szCs w:val="32"/>
          <w:lang w:val="zh-CN"/>
        </w:rPr>
        <w:t>第十二章 规划实施保障</w:t>
      </w:r>
      <w:r>
        <w:rPr>
          <w:rFonts w:ascii="黑体" w:hAnsi="黑体" w:cs="仿宋_GB2312"/>
          <w:kern w:val="0"/>
          <w:szCs w:val="32"/>
          <w:lang w:val="zh-CN"/>
        </w:rPr>
        <w:tab/>
      </w:r>
      <w:r>
        <w:rPr>
          <w:rFonts w:ascii="Times New Roman" w:hAnsi="Times New Roman"/>
          <w:b/>
          <w:bCs/>
          <w:kern w:val="0"/>
          <w:szCs w:val="32"/>
          <w:lang w:val="zh-CN"/>
        </w:rPr>
        <w:fldChar w:fldCharType="begin"/>
      </w:r>
      <w:r>
        <w:rPr>
          <w:rFonts w:ascii="Times New Roman" w:hAnsi="Times New Roman"/>
          <w:b/>
          <w:bCs/>
          <w:kern w:val="0"/>
          <w:szCs w:val="32"/>
          <w:lang w:val="zh-CN"/>
        </w:rPr>
        <w:instrText xml:space="preserve"> PAGEREF _Toc22667 \h </w:instrText>
      </w:r>
      <w:r>
        <w:rPr>
          <w:rFonts w:ascii="Times New Roman" w:hAnsi="Times New Roman"/>
          <w:b/>
          <w:bCs/>
          <w:kern w:val="0"/>
          <w:szCs w:val="32"/>
          <w:lang w:val="zh-CN"/>
        </w:rPr>
        <w:fldChar w:fldCharType="separate"/>
      </w:r>
      <w:r>
        <w:rPr>
          <w:rFonts w:ascii="Times New Roman" w:hAnsi="Times New Roman"/>
          <w:b/>
          <w:bCs/>
          <w:kern w:val="0"/>
          <w:szCs w:val="32"/>
          <w:lang w:val="zh-CN"/>
        </w:rPr>
        <w:t>132</w:t>
      </w:r>
      <w:r>
        <w:rPr>
          <w:rFonts w:ascii="Times New Roman" w:hAnsi="Times New Roman"/>
          <w:b/>
          <w:bCs/>
          <w:kern w:val="0"/>
          <w:szCs w:val="32"/>
          <w:lang w:val="zh-CN"/>
        </w:rPr>
        <w:fldChar w:fldCharType="end"/>
      </w:r>
      <w:r>
        <w:rPr>
          <w:rFonts w:ascii="Times New Roman" w:hAnsi="Times New Roman"/>
          <w:b/>
          <w:bCs/>
          <w:kern w:val="0"/>
          <w:szCs w:val="32"/>
          <w:lang w:val="zh-CN"/>
        </w:rPr>
        <w:fldChar w:fldCharType="end"/>
      </w:r>
    </w:p>
    <w:p w14:paraId="6E9A6B26">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"_Toc29113" </w:instrText>
      </w:r>
      <w:r>
        <w:fldChar w:fldCharType="separate"/>
      </w:r>
      <w:r>
        <w:rPr>
          <w:rFonts w:hint="eastAsia" w:ascii="仿宋_GB2312" w:hAnsi="仿宋_GB2312" w:eastAsia="仿宋_GB2312" w:cs="仿宋_GB2312"/>
          <w:kern w:val="0"/>
          <w:szCs w:val="32"/>
          <w:lang w:val="zh-CN"/>
        </w:rPr>
        <w:t>第一节 加强党的领导</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_Toc29113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132</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7F45CCA3">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"_Toc22900" </w:instrText>
      </w:r>
      <w:r>
        <w:fldChar w:fldCharType="separate"/>
      </w:r>
      <w:r>
        <w:rPr>
          <w:rFonts w:hint="eastAsia" w:ascii="仿宋_GB2312" w:hAnsi="仿宋_GB2312" w:eastAsia="仿宋_GB2312" w:cs="仿宋_GB2312"/>
          <w:kern w:val="0"/>
          <w:szCs w:val="32"/>
          <w:lang w:val="zh-CN"/>
        </w:rPr>
        <w:t>第二节 规划传导</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_Toc22900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133</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38F3187F">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"_Toc27682" </w:instrText>
      </w:r>
      <w:r>
        <w:fldChar w:fldCharType="separate"/>
      </w:r>
      <w:r>
        <w:rPr>
          <w:rFonts w:hint="eastAsia" w:ascii="仿宋_GB2312" w:hAnsi="仿宋_GB2312" w:eastAsia="仿宋_GB2312" w:cs="仿宋_GB2312"/>
          <w:kern w:val="0"/>
          <w:szCs w:val="32"/>
          <w:lang w:val="zh-CN"/>
        </w:rPr>
        <w:t>第三节 规划评估、监督机制及信息平台建设</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_Toc27682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137</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6C3E12E5">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"_Toc27496" </w:instrText>
      </w:r>
      <w:r>
        <w:fldChar w:fldCharType="separate"/>
      </w:r>
      <w:r>
        <w:rPr>
          <w:rFonts w:hint="eastAsia" w:ascii="仿宋_GB2312" w:hAnsi="仿宋_GB2312" w:eastAsia="仿宋_GB2312" w:cs="仿宋_GB2312"/>
          <w:kern w:val="0"/>
          <w:szCs w:val="32"/>
          <w:lang w:val="zh-CN"/>
        </w:rPr>
        <w:t>第四节 配套政策完善</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_Toc27496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139</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5594CE2C">
      <w:pPr>
        <w:pStyle w:val="24"/>
        <w:widowControl/>
        <w:tabs>
          <w:tab w:val="right" w:leader="dot" w:pos="8561"/>
        </w:tabs>
        <w:adjustRightInd/>
        <w:spacing w:line="560" w:lineRule="atLeast"/>
        <w:ind w:left="640" w:leftChars="200" w:firstLine="640"/>
        <w:jc w:val="both"/>
        <w:rPr>
          <w:rFonts w:ascii="仿宋_GB2312" w:hAnsi="仿宋_GB2312" w:eastAsia="仿宋_GB2312" w:cs="仿宋_GB2312"/>
          <w:kern w:val="0"/>
          <w:szCs w:val="32"/>
          <w:lang w:val="zh-CN"/>
        </w:rPr>
      </w:pPr>
      <w:r>
        <w:fldChar w:fldCharType="begin"/>
      </w:r>
      <w:r>
        <w:instrText xml:space="preserve"> HYPERLINK \l "_Toc18650" </w:instrText>
      </w:r>
      <w:r>
        <w:fldChar w:fldCharType="separate"/>
      </w:r>
      <w:r>
        <w:rPr>
          <w:rFonts w:hint="eastAsia" w:ascii="仿宋_GB2312" w:hAnsi="仿宋_GB2312" w:eastAsia="仿宋_GB2312" w:cs="仿宋_GB2312"/>
          <w:kern w:val="0"/>
          <w:szCs w:val="32"/>
          <w:lang w:val="zh-CN"/>
        </w:rPr>
        <w:t>第五节 近期建设行动计划</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_Toc18650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140</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5D365812">
      <w:pPr>
        <w:pStyle w:val="24"/>
        <w:widowControl/>
        <w:tabs>
          <w:tab w:val="right" w:leader="dot" w:pos="8561"/>
        </w:tabs>
        <w:adjustRightInd/>
        <w:spacing w:line="560" w:lineRule="atLeast"/>
        <w:ind w:left="640" w:leftChars="200" w:firstLine="640"/>
        <w:jc w:val="both"/>
      </w:pPr>
      <w:r>
        <w:fldChar w:fldCharType="begin"/>
      </w:r>
      <w:r>
        <w:instrText xml:space="preserve"> HYPERLINK \l "_Toc23333" </w:instrText>
      </w:r>
      <w:r>
        <w:fldChar w:fldCharType="separate"/>
      </w:r>
      <w:r>
        <w:rPr>
          <w:rFonts w:hint="eastAsia" w:ascii="仿宋_GB2312" w:hAnsi="仿宋_GB2312" w:eastAsia="仿宋_GB2312" w:cs="仿宋_GB2312"/>
          <w:kern w:val="0"/>
          <w:szCs w:val="32"/>
          <w:lang w:val="zh-CN"/>
        </w:rPr>
        <w:t>第六节 强化规划全生命周期管理</w:t>
      </w:r>
      <w:r>
        <w:rPr>
          <w:rFonts w:hint="eastAsia" w:ascii="仿宋_GB2312" w:hAnsi="仿宋_GB2312" w:eastAsia="仿宋_GB2312" w:cs="仿宋_GB2312"/>
          <w:kern w:val="0"/>
          <w:szCs w:val="32"/>
          <w:lang w:val="zh-CN"/>
        </w:rPr>
        <w:tab/>
      </w:r>
      <w:r>
        <w:rPr>
          <w:rFonts w:hint="eastAsia" w:ascii="仿宋_GB2312" w:hAnsi="仿宋_GB2312" w:eastAsia="仿宋_GB2312" w:cs="仿宋_GB2312"/>
          <w:kern w:val="0"/>
          <w:szCs w:val="32"/>
          <w:lang w:val="zh-CN"/>
        </w:rPr>
        <w:fldChar w:fldCharType="begin"/>
      </w:r>
      <w:r>
        <w:rPr>
          <w:rFonts w:hint="eastAsia" w:ascii="仿宋_GB2312" w:hAnsi="仿宋_GB2312" w:eastAsia="仿宋_GB2312" w:cs="仿宋_GB2312"/>
          <w:kern w:val="0"/>
          <w:szCs w:val="32"/>
          <w:lang w:val="zh-CN"/>
        </w:rPr>
        <w:instrText xml:space="preserve"> PAGEREF _Toc23333 \h </w:instrText>
      </w:r>
      <w:r>
        <w:rPr>
          <w:rFonts w:hint="eastAsia" w:ascii="仿宋_GB2312" w:hAnsi="仿宋_GB2312" w:eastAsia="仿宋_GB2312" w:cs="仿宋_GB2312"/>
          <w:kern w:val="0"/>
          <w:szCs w:val="32"/>
          <w:lang w:val="zh-CN"/>
        </w:rPr>
        <w:fldChar w:fldCharType="separate"/>
      </w:r>
      <w:r>
        <w:rPr>
          <w:rFonts w:hint="eastAsia" w:ascii="仿宋_GB2312" w:hAnsi="仿宋_GB2312" w:eastAsia="仿宋_GB2312" w:cs="仿宋_GB2312"/>
          <w:kern w:val="0"/>
          <w:szCs w:val="32"/>
          <w:lang w:val="zh-CN"/>
        </w:rPr>
        <w:t>140</w:t>
      </w:r>
      <w:r>
        <w:rPr>
          <w:rFonts w:hint="eastAsia" w:ascii="仿宋_GB2312" w:hAnsi="仿宋_GB2312" w:eastAsia="仿宋_GB2312" w:cs="仿宋_GB2312"/>
          <w:kern w:val="0"/>
          <w:szCs w:val="32"/>
          <w:lang w:val="zh-CN"/>
        </w:rPr>
        <w:fldChar w:fldCharType="end"/>
      </w:r>
      <w:r>
        <w:rPr>
          <w:rFonts w:hint="eastAsia" w:ascii="仿宋_GB2312" w:hAnsi="仿宋_GB2312" w:eastAsia="仿宋_GB2312" w:cs="仿宋_GB2312"/>
          <w:kern w:val="0"/>
          <w:szCs w:val="32"/>
          <w:lang w:val="zh-CN"/>
        </w:rPr>
        <w:fldChar w:fldCharType="end"/>
      </w:r>
    </w:p>
    <w:p w14:paraId="33F514AC">
      <w:pPr>
        <w:pStyle w:val="20"/>
        <w:tabs>
          <w:tab w:val="right" w:leader="dot" w:pos="8561"/>
        </w:tabs>
        <w:spacing w:line="560" w:lineRule="atLeast"/>
        <w:ind w:firstLine="640"/>
        <w:rPr>
          <w:rFonts w:ascii="黑体" w:hAnsi="黑体" w:cs="仿宋_GB2312"/>
          <w:kern w:val="0"/>
          <w:szCs w:val="32"/>
        </w:rPr>
      </w:pPr>
      <w:r>
        <w:fldChar w:fldCharType="begin"/>
      </w:r>
      <w:r>
        <w:instrText xml:space="preserve"> HYPERLINK \l "_Toc12043" </w:instrText>
      </w:r>
      <w:r>
        <w:fldChar w:fldCharType="separate"/>
      </w:r>
      <w:r>
        <w:rPr>
          <w:rFonts w:ascii="黑体" w:hAnsi="黑体" w:cs="仿宋_GB2312"/>
          <w:kern w:val="0"/>
          <w:szCs w:val="32"/>
        </w:rPr>
        <w:t>附</w:t>
      </w:r>
      <w:r>
        <w:rPr>
          <w:rFonts w:hint="eastAsia" w:ascii="黑体" w:hAnsi="黑体" w:cs="仿宋_GB2312"/>
          <w:kern w:val="0"/>
          <w:szCs w:val="32"/>
          <w:lang w:val="en-US" w:eastAsia="zh-CN"/>
        </w:rPr>
        <w:t>图</w:t>
      </w:r>
      <w:r>
        <w:rPr>
          <w:rFonts w:ascii="黑体" w:hAnsi="黑体" w:cs="仿宋_GB2312"/>
          <w:kern w:val="0"/>
          <w:szCs w:val="32"/>
        </w:rPr>
        <w:tab/>
      </w:r>
      <w:r>
        <w:rPr>
          <w:rFonts w:hint="eastAsia" w:ascii="黑体" w:hAnsi="黑体" w:cs="仿宋_GB2312"/>
          <w:kern w:val="0"/>
          <w:szCs w:val="32"/>
          <w:lang w:val="en-US" w:eastAsia="zh-CN"/>
        </w:rPr>
        <w:t>142</w:t>
      </w:r>
      <w:r>
        <w:rPr>
          <w:rFonts w:ascii="Times New Roman" w:hAnsi="Times New Roman"/>
          <w:b/>
          <w:bCs/>
          <w:kern w:val="0"/>
          <w:szCs w:val="32"/>
        </w:rPr>
        <w:fldChar w:fldCharType="end"/>
      </w:r>
    </w:p>
    <w:bookmarkEnd w:id="2"/>
    <w:bookmarkEnd w:id="3"/>
    <w:p w14:paraId="1316BF46">
      <w:pPr>
        <w:ind w:firstLine="560"/>
        <w:jc w:val="center"/>
      </w:pPr>
      <w:r>
        <w:rPr>
          <w:sz w:val="28"/>
          <w:szCs w:val="28"/>
          <w:lang w:val="zh-CN"/>
        </w:rPr>
        <w:fldChar w:fldCharType="end"/>
      </w:r>
    </w:p>
    <w:p w14:paraId="1A462EBA">
      <w:pPr>
        <w:pStyle w:val="2"/>
        <w:widowControl/>
        <w:tabs>
          <w:tab w:val="left" w:leader="dot" w:pos="8295"/>
        </w:tabs>
        <w:spacing w:before="0" w:after="0" w:line="240" w:lineRule="auto"/>
        <w:ind w:left="143"/>
        <w:rPr>
          <w:rFonts w:eastAsia="黑体" w:cs="仿宋_GB2312"/>
          <w:bCs w:val="0"/>
          <w:sz w:val="32"/>
        </w:rPr>
        <w:sectPr>
          <w:headerReference r:id="rId5" w:type="default"/>
          <w:footerReference r:id="rId6" w:type="default"/>
          <w:pgSz w:w="11906" w:h="16838"/>
          <w:pgMar w:top="1440" w:right="1800" w:bottom="1440" w:left="1800" w:header="851" w:footer="992" w:gutter="0"/>
          <w:pgNumType w:fmt="upperRoman" w:start="1"/>
          <w:cols w:space="720" w:num="1"/>
          <w:docGrid w:type="lines" w:linePitch="312" w:charSpace="0"/>
        </w:sectPr>
      </w:pPr>
      <w:bookmarkStart w:id="4" w:name="_Toc18672"/>
      <w:bookmarkStart w:id="5" w:name="_Toc23171"/>
      <w:bookmarkStart w:id="6" w:name="_Toc22349"/>
      <w:bookmarkStart w:id="7" w:name="_Toc20307"/>
      <w:bookmarkStart w:id="8" w:name="_Toc9232"/>
      <w:bookmarkStart w:id="9" w:name="_Toc28628"/>
      <w:bookmarkStart w:id="10" w:name="_Toc2018"/>
      <w:bookmarkStart w:id="11" w:name="_Toc8790"/>
      <w:bookmarkStart w:id="12" w:name="_Toc10508"/>
      <w:bookmarkStart w:id="13" w:name="_Toc21370"/>
      <w:bookmarkStart w:id="14" w:name="_Toc13991"/>
      <w:bookmarkStart w:id="15" w:name="_Toc138866630"/>
      <w:bookmarkStart w:id="16" w:name="_Toc138866946"/>
    </w:p>
    <w:p w14:paraId="7DBCA5FB">
      <w:pPr>
        <w:pStyle w:val="2"/>
        <w:widowControl/>
        <w:tabs>
          <w:tab w:val="left" w:leader="dot" w:pos="8295"/>
        </w:tabs>
        <w:spacing w:before="0" w:after="0" w:line="240" w:lineRule="auto"/>
        <w:ind w:left="143"/>
        <w:rPr>
          <w:rFonts w:eastAsia="黑体" w:cs="仿宋_GB2312"/>
          <w:bCs w:val="0"/>
          <w:sz w:val="32"/>
        </w:rPr>
      </w:pPr>
      <w:r>
        <w:rPr>
          <w:rFonts w:hint="eastAsia" w:eastAsia="黑体" w:cs="仿宋_GB2312"/>
          <w:bCs w:val="0"/>
          <w:sz w:val="32"/>
        </w:rPr>
        <w:t>前 言</w:t>
      </w:r>
      <w:bookmarkEnd w:id="4"/>
    </w:p>
    <w:p w14:paraId="71C6A36C">
      <w:pPr>
        <w:ind w:firstLine="640"/>
      </w:pPr>
    </w:p>
    <w:p w14:paraId="7DDF90C2">
      <w:pPr>
        <w:widowControl/>
        <w:spacing w:line="540" w:lineRule="exact"/>
        <w:ind w:left="142" w:firstLine="640"/>
        <w:jc w:val="both"/>
        <w:rPr>
          <w:rFonts w:ascii="仿宋" w:hAnsi="仿宋" w:eastAsia="仿宋" w:cs="仿宋_GB2312"/>
          <w:kern w:val="0"/>
          <w:szCs w:val="32"/>
          <w:shd w:val="clear" w:color="auto" w:fill="FFFFFF"/>
        </w:rPr>
      </w:pPr>
      <w:r>
        <w:rPr>
          <w:rFonts w:hint="eastAsia" w:ascii="仿宋" w:hAnsi="仿宋" w:eastAsia="仿宋" w:cs="仿宋_GB2312"/>
          <w:kern w:val="0"/>
          <w:szCs w:val="32"/>
          <w:shd w:val="clear" w:color="auto" w:fill="FFFFFF"/>
        </w:rPr>
        <w:t>国土空间规划是国家空间发展的指南、可持续发展的空间蓝图，是各类开发保护建设活动的基本依据。强化国土空间规划对各项规划的指导约束作用，是党中央、国务院作出的重大部署。按照党中央、国务院、湖北省、咸宁市部署，崇阳县人民政府组织编制《崇阳县国土空间总体规划（</w:t>
      </w:r>
      <w:r>
        <w:rPr>
          <w:rFonts w:ascii="Times New Roman" w:hAnsi="Times New Roman" w:eastAsia="仿宋"/>
          <w:kern w:val="0"/>
          <w:szCs w:val="32"/>
          <w:shd w:val="clear" w:color="auto" w:fill="FFFFFF"/>
        </w:rPr>
        <w:t>2021</w:t>
      </w:r>
      <w:bookmarkStart w:id="17" w:name="OLE_LINK40"/>
      <w:r>
        <w:rPr>
          <w:rFonts w:hint="eastAsia" w:ascii="仿宋" w:hAnsi="仿宋" w:eastAsia="仿宋" w:cs="仿宋_GB2312"/>
          <w:kern w:val="0"/>
          <w:szCs w:val="32"/>
          <w:shd w:val="clear" w:color="auto" w:fill="FFFFFF"/>
        </w:rPr>
        <w:t>—</w:t>
      </w:r>
      <w:bookmarkEnd w:id="17"/>
      <w:r>
        <w:rPr>
          <w:rFonts w:ascii="Times New Roman" w:hAnsi="Times New Roman" w:eastAsia="仿宋"/>
          <w:kern w:val="0"/>
          <w:szCs w:val="32"/>
          <w:shd w:val="clear" w:color="auto" w:fill="FFFFFF"/>
        </w:rPr>
        <w:t>2035</w:t>
      </w:r>
      <w:r>
        <w:rPr>
          <w:rFonts w:hint="eastAsia" w:ascii="仿宋" w:hAnsi="仿宋" w:eastAsia="仿宋" w:cs="仿宋_GB2312"/>
          <w:kern w:val="0"/>
          <w:szCs w:val="32"/>
          <w:shd w:val="clear" w:color="auto" w:fill="FFFFFF"/>
        </w:rPr>
        <w:t>年）》（以下简称《规划》）。</w:t>
      </w:r>
    </w:p>
    <w:p w14:paraId="361ABFAA">
      <w:pPr>
        <w:widowControl/>
        <w:spacing w:line="540" w:lineRule="exact"/>
        <w:ind w:left="142" w:firstLine="640"/>
        <w:jc w:val="both"/>
        <w:rPr>
          <w:rFonts w:ascii="仿宋" w:hAnsi="仿宋" w:eastAsia="仿宋" w:cs="仿宋_GB2312"/>
          <w:kern w:val="0"/>
          <w:szCs w:val="32"/>
          <w:shd w:val="clear" w:color="auto" w:fill="FFFFFF"/>
        </w:rPr>
      </w:pPr>
      <w:r>
        <w:rPr>
          <w:rFonts w:hint="eastAsia" w:ascii="仿宋" w:hAnsi="仿宋" w:eastAsia="仿宋" w:cs="仿宋_GB2312"/>
          <w:kern w:val="0"/>
          <w:szCs w:val="32"/>
          <w:shd w:val="clear" w:color="auto" w:fill="FFFFFF"/>
        </w:rPr>
        <w:t>《规划》细化落实《全国国土空间规划纲要</w:t>
      </w:r>
      <w:r>
        <w:rPr>
          <w:rFonts w:hint="eastAsia" w:ascii="Times New Roman" w:hAnsi="Times New Roman" w:eastAsia="仿宋"/>
          <w:kern w:val="0"/>
          <w:szCs w:val="32"/>
          <w:shd w:val="clear" w:color="auto" w:fill="FFFFFF"/>
        </w:rPr>
        <w:t>（</w:t>
      </w:r>
      <w:r>
        <w:rPr>
          <w:rFonts w:ascii="Times New Roman" w:hAnsi="Times New Roman" w:eastAsia="仿宋"/>
          <w:kern w:val="0"/>
          <w:szCs w:val="32"/>
          <w:shd w:val="clear" w:color="auto" w:fill="FFFFFF"/>
        </w:rPr>
        <w:t>2021</w:t>
      </w:r>
      <w:r>
        <w:rPr>
          <w:rFonts w:hint="eastAsia"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2035</w:t>
      </w:r>
      <w:r>
        <w:rPr>
          <w:rFonts w:hint="eastAsia" w:ascii="仿宋" w:hAnsi="仿宋" w:eastAsia="仿宋" w:cs="仿宋_GB2312"/>
          <w:kern w:val="0"/>
          <w:szCs w:val="32"/>
          <w:shd w:val="clear" w:color="auto" w:fill="FFFFFF"/>
        </w:rPr>
        <w:t>年）》《湖北省国土空间规划（</w:t>
      </w:r>
      <w:r>
        <w:rPr>
          <w:rFonts w:ascii="Times New Roman" w:hAnsi="Times New Roman" w:eastAsia="仿宋"/>
          <w:kern w:val="0"/>
          <w:szCs w:val="32"/>
          <w:shd w:val="clear" w:color="auto" w:fill="FFFFFF"/>
        </w:rPr>
        <w:t>2021</w:t>
      </w:r>
      <w:bookmarkStart w:id="18" w:name="OLE_LINK42"/>
      <w:bookmarkStart w:id="19" w:name="OLE_LINK41"/>
      <w:r>
        <w:rPr>
          <w:rFonts w:hint="eastAsia" w:ascii="仿宋" w:hAnsi="仿宋" w:eastAsia="仿宋" w:cs="仿宋_GB2312"/>
          <w:kern w:val="0"/>
          <w:szCs w:val="32"/>
          <w:shd w:val="clear" w:color="auto" w:fill="FFFFFF"/>
        </w:rPr>
        <w:t>—</w:t>
      </w:r>
      <w:bookmarkEnd w:id="18"/>
      <w:bookmarkEnd w:id="19"/>
      <w:r>
        <w:rPr>
          <w:rFonts w:ascii="Times New Roman" w:hAnsi="Times New Roman" w:eastAsia="仿宋"/>
          <w:kern w:val="0"/>
          <w:szCs w:val="32"/>
          <w:shd w:val="clear" w:color="auto" w:fill="FFFFFF"/>
        </w:rPr>
        <w:t>2035</w:t>
      </w:r>
      <w:r>
        <w:rPr>
          <w:rFonts w:hint="eastAsia" w:ascii="仿宋" w:hAnsi="仿宋" w:eastAsia="仿宋" w:cs="仿宋_GB2312"/>
          <w:kern w:val="0"/>
          <w:szCs w:val="32"/>
          <w:shd w:val="clear" w:color="auto" w:fill="FFFFFF"/>
        </w:rPr>
        <w:t>年）》《咸宁市国土空间总体规划（</w:t>
      </w:r>
      <w:r>
        <w:rPr>
          <w:rFonts w:ascii="Times New Roman" w:hAnsi="Times New Roman" w:eastAsia="仿宋"/>
          <w:kern w:val="0"/>
          <w:szCs w:val="32"/>
          <w:shd w:val="clear" w:color="auto" w:fill="FFFFFF"/>
        </w:rPr>
        <w:t>2021</w:t>
      </w:r>
      <w:r>
        <w:rPr>
          <w:rFonts w:hint="eastAsia"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2035</w:t>
      </w:r>
      <w:r>
        <w:rPr>
          <w:rFonts w:hint="eastAsia" w:ascii="仿宋" w:hAnsi="仿宋" w:eastAsia="仿宋" w:cs="仿宋_GB2312"/>
          <w:kern w:val="0"/>
          <w:szCs w:val="32"/>
          <w:shd w:val="clear" w:color="auto" w:fill="FFFFFF"/>
        </w:rPr>
        <w:t>年）》，统筹部署与安排全县国土空间，为湖北省“在长江经济带高质量发展中奋勇争先、加快建成中部地区崛起的重要战略支点、奋力谱写中国式现代化湖北篇章”、咸宁市建设武汉都市圈自然生态公园城市贡献崇阳力量。</w:t>
      </w:r>
    </w:p>
    <w:p w14:paraId="52E09839">
      <w:pPr>
        <w:widowControl/>
        <w:spacing w:line="540" w:lineRule="exact"/>
        <w:ind w:left="142" w:firstLine="640"/>
        <w:jc w:val="both"/>
        <w:rPr>
          <w:rFonts w:ascii="仿宋" w:hAnsi="仿宋" w:eastAsia="仿宋" w:cs="仿宋_GB2312"/>
          <w:kern w:val="0"/>
          <w:szCs w:val="32"/>
          <w:shd w:val="clear" w:color="auto" w:fill="FFFFFF"/>
        </w:rPr>
      </w:pPr>
      <w:r>
        <w:rPr>
          <w:rFonts w:hint="eastAsia" w:ascii="仿宋" w:hAnsi="仿宋" w:eastAsia="仿宋" w:cs="仿宋_GB2312"/>
          <w:kern w:val="0"/>
          <w:szCs w:val="32"/>
          <w:shd w:val="clear" w:color="auto" w:fill="FFFFFF"/>
        </w:rPr>
        <w:t>《规划》是崇阳县当前和今后一个时期国土空间保护、开发、利用、修复的行动纲领，是编制下位国土空间总体规划、详细规划和开展各类开发保护建设活动、实施国土空间用途管制的基本依据，具有综合性、战略性、协调性、基础性和约束性。</w:t>
      </w:r>
    </w:p>
    <w:p w14:paraId="4E27FA57">
      <w:pPr>
        <w:widowControl/>
        <w:spacing w:line="540" w:lineRule="exact"/>
        <w:ind w:left="142" w:firstLine="640"/>
        <w:jc w:val="both"/>
        <w:rPr>
          <w:rFonts w:ascii="仿宋" w:hAnsi="仿宋" w:eastAsia="仿宋" w:cs="仿宋_GB2312"/>
          <w:kern w:val="0"/>
          <w:szCs w:val="32"/>
          <w:shd w:val="clear" w:color="auto" w:fill="FFFFFF"/>
        </w:rPr>
        <w:sectPr>
          <w:footerReference r:id="rId7" w:type="default"/>
          <w:pgSz w:w="11906" w:h="16838"/>
          <w:pgMar w:top="1440" w:right="1800" w:bottom="1440" w:left="1800" w:header="851" w:footer="992" w:gutter="0"/>
          <w:pgNumType w:start="1"/>
          <w:cols w:space="720" w:num="1"/>
          <w:docGrid w:type="lines" w:linePitch="312" w:charSpace="0"/>
        </w:sectPr>
      </w:pPr>
    </w:p>
    <w:p w14:paraId="5620F7E3">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bookmarkStart w:id="20" w:name="_Toc28767"/>
      <w:bookmarkStart w:id="21" w:name="_Toc170"/>
      <w:bookmarkStart w:id="22" w:name="_Toc6798"/>
      <w:bookmarkStart w:id="23" w:name="_Toc4866"/>
      <w:bookmarkStart w:id="24" w:name="_Toc23413"/>
      <w:bookmarkStart w:id="25" w:name="_Toc10254"/>
      <w:bookmarkStart w:id="26" w:name="_Toc5409"/>
      <w:bookmarkStart w:id="27" w:name="_Toc28023"/>
      <w:bookmarkStart w:id="28" w:name="_Toc15856"/>
      <w:bookmarkStart w:id="29" w:name="_Toc29451"/>
      <w:bookmarkStart w:id="30" w:name="_Toc4091"/>
      <w:bookmarkStart w:id="31" w:name="_Toc1627"/>
      <w:bookmarkStart w:id="32" w:name="_Toc18381"/>
      <w:r>
        <w:rPr>
          <w:rFonts w:hint="eastAsia" w:ascii="黑体" w:hAnsi="黑体" w:eastAsia="黑体" w:cs="方正小标宋_GBK"/>
          <w:bCs w:val="0"/>
          <w:szCs w:val="36"/>
        </w:rPr>
        <w:t>第一章 总则</w:t>
      </w:r>
      <w:bookmarkEnd w:id="5"/>
      <w:bookmarkEnd w:id="6"/>
      <w:bookmarkEnd w:id="7"/>
      <w:bookmarkEnd w:id="8"/>
      <w:bookmarkEnd w:id="9"/>
      <w:bookmarkEnd w:id="10"/>
      <w:bookmarkEnd w:id="11"/>
      <w:bookmarkEnd w:id="12"/>
      <w:bookmarkEnd w:id="13"/>
      <w:bookmarkEnd w:id="14"/>
      <w:bookmarkEnd w:id="15"/>
      <w:bookmarkEnd w:id="16"/>
      <w:bookmarkEnd w:id="20"/>
      <w:bookmarkEnd w:id="21"/>
      <w:bookmarkEnd w:id="22"/>
      <w:bookmarkEnd w:id="23"/>
      <w:bookmarkEnd w:id="24"/>
      <w:bookmarkEnd w:id="25"/>
      <w:bookmarkEnd w:id="26"/>
      <w:bookmarkEnd w:id="27"/>
      <w:bookmarkEnd w:id="28"/>
      <w:bookmarkEnd w:id="29"/>
      <w:bookmarkEnd w:id="30"/>
      <w:bookmarkEnd w:id="31"/>
      <w:bookmarkEnd w:id="32"/>
    </w:p>
    <w:p w14:paraId="786CAF30">
      <w:pPr>
        <w:pStyle w:val="4"/>
        <w:ind w:firstLine="640"/>
      </w:pPr>
      <w:bookmarkStart w:id="33" w:name="_Toc20861"/>
      <w:bookmarkStart w:id="34" w:name="_Toc24103"/>
      <w:bookmarkStart w:id="35" w:name="_Toc8709"/>
      <w:bookmarkStart w:id="36" w:name="_Toc6112"/>
      <w:bookmarkStart w:id="37" w:name="_Toc13555"/>
      <w:bookmarkStart w:id="38" w:name="_Toc25928"/>
      <w:bookmarkStart w:id="39" w:name="_Toc20429"/>
      <w:bookmarkStart w:id="40" w:name="_Toc138428802"/>
      <w:bookmarkStart w:id="41" w:name="_Toc25657"/>
      <w:bookmarkStart w:id="42" w:name="_Toc9494"/>
      <w:bookmarkStart w:id="43" w:name="_Toc30598"/>
      <w:bookmarkStart w:id="44" w:name="_Toc8889"/>
      <w:bookmarkStart w:id="45" w:name="_Toc20224"/>
      <w:bookmarkStart w:id="46" w:name="_Toc9645"/>
      <w:bookmarkStart w:id="47" w:name="_Toc138866631"/>
      <w:bookmarkStart w:id="48" w:name="_Toc10150"/>
      <w:bookmarkStart w:id="49" w:name="_Toc31782"/>
      <w:bookmarkStart w:id="50" w:name="_Toc28454"/>
      <w:bookmarkStart w:id="51" w:name="_Toc1537"/>
      <w:bookmarkStart w:id="52" w:name="_Toc32404"/>
      <w:bookmarkStart w:id="53" w:name="_Toc31222"/>
      <w:bookmarkStart w:id="54" w:name="_Toc17876"/>
      <w:bookmarkStart w:id="55" w:name="_Toc20961"/>
      <w:bookmarkStart w:id="56" w:name="_Toc10518"/>
      <w:bookmarkStart w:id="57" w:name="_Toc4615"/>
      <w:bookmarkStart w:id="58" w:name="_Toc17499"/>
      <w:r>
        <w:rPr>
          <w:rFonts w:hint="eastAsia"/>
        </w:rPr>
        <w:t>规划目的</w:t>
      </w:r>
    </w:p>
    <w:p w14:paraId="6FDBA185">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为全面贯彻党中央、国务院关于建立国土空间规划体系并监督实施的战略部署，根据有关法律法规和政策要求，编制《崇阳县国土空间总体规划（2021</w:t>
      </w:r>
      <w:r>
        <w:rPr>
          <w:rFonts w:hint="eastAsia"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2035年）》（以下简称“本规划”）。本规划是对崇阳县域范围内国土空间开发保护的发展蓝图和综合战略部署，是对《中共中央 国务院关于建立国土空间规划体系并监督实施的若干意见》《全国国土空间规划纲要（2021</w:t>
      </w:r>
      <w:r>
        <w:rPr>
          <w:rFonts w:hint="eastAsia"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2035年）》《湖北省国土空间规划（2021</w:t>
      </w:r>
      <w:bookmarkStart w:id="59" w:name="OLE_LINK44"/>
      <w:bookmarkStart w:id="60" w:name="OLE_LINK43"/>
      <w:r>
        <w:rPr>
          <w:rFonts w:hint="eastAsia" w:ascii="仿宋" w:hAnsi="仿宋" w:eastAsia="仿宋" w:cs="仿宋_GB2312"/>
          <w:kern w:val="0"/>
          <w:szCs w:val="32"/>
          <w:shd w:val="clear" w:color="auto" w:fill="FFFFFF"/>
        </w:rPr>
        <w:t>—</w:t>
      </w:r>
      <w:bookmarkEnd w:id="59"/>
      <w:bookmarkEnd w:id="60"/>
      <w:r>
        <w:rPr>
          <w:rFonts w:ascii="Times New Roman" w:hAnsi="Times New Roman" w:eastAsia="仿宋"/>
          <w:kern w:val="0"/>
          <w:szCs w:val="32"/>
          <w:shd w:val="clear" w:color="auto" w:fill="FFFFFF"/>
        </w:rPr>
        <w:t>2035年）》《咸宁市国土空间总体规划（2021</w:t>
      </w:r>
      <w:r>
        <w:rPr>
          <w:rFonts w:hint="eastAsia"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2035年）》的细化落实，做好湖北省加快建设中部地区崛起重要战略支点、</w:t>
      </w:r>
      <w:r>
        <w:rPr>
          <w:rFonts w:ascii="仿宋" w:hAnsi="仿宋" w:eastAsia="仿宋" w:cs="仿宋_GB2312"/>
          <w:kern w:val="0"/>
          <w:szCs w:val="32"/>
          <w:shd w:val="clear" w:color="auto" w:fill="FFFFFF"/>
        </w:rPr>
        <w:t>长江经济带发展国家区域战略实施的空间保障，统筹全域全要素配置，转变发展方式，推进存量空间盘活利用，实现高质量发展，根据国家、湖北省相关法律法规和技术规范等，制定本规划</w:t>
      </w:r>
      <w:r>
        <w:rPr>
          <w:rFonts w:hint="eastAsia" w:ascii="仿宋" w:hAnsi="仿宋" w:eastAsia="仿宋" w:cs="仿宋_GB2312"/>
          <w:kern w:val="0"/>
          <w:szCs w:val="32"/>
          <w:shd w:val="clear" w:color="auto" w:fill="FFFFFF"/>
        </w:rPr>
        <w:t>。</w:t>
      </w:r>
    </w:p>
    <w:p w14:paraId="260917B9">
      <w:pPr>
        <w:pStyle w:val="4"/>
        <w:ind w:firstLine="640"/>
      </w:pPr>
      <w:r>
        <w:rPr>
          <w:rFonts w:hint="eastAsia"/>
        </w:rPr>
        <w:t>规划定位</w:t>
      </w:r>
    </w:p>
    <w:p w14:paraId="5E3C425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本规划是对《湖北省国土空间规划（</w:t>
      </w:r>
      <w:r>
        <w:rPr>
          <w:rFonts w:ascii="Times New Roman" w:hAnsi="Times New Roman" w:eastAsia="仿宋"/>
          <w:kern w:val="0"/>
          <w:szCs w:val="32"/>
          <w:shd w:val="clear" w:color="auto" w:fill="FFFFFF"/>
        </w:rPr>
        <w:t>2021</w:t>
      </w:r>
      <w:bookmarkStart w:id="61" w:name="OLE_LINK45"/>
      <w:r>
        <w:rPr>
          <w:rFonts w:hint="eastAsia" w:ascii="仿宋" w:hAnsi="仿宋" w:eastAsia="仿宋" w:cs="仿宋_GB2312"/>
          <w:kern w:val="0"/>
          <w:szCs w:val="32"/>
          <w:shd w:val="clear" w:color="auto" w:fill="FFFFFF"/>
        </w:rPr>
        <w:t>—</w:t>
      </w:r>
      <w:bookmarkEnd w:id="61"/>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年）》《咸宁市国土空间总体规划（</w:t>
      </w:r>
      <w:r>
        <w:rPr>
          <w:rFonts w:ascii="Times New Roman" w:hAnsi="Times New Roman" w:eastAsia="仿宋"/>
          <w:kern w:val="0"/>
          <w:szCs w:val="32"/>
          <w:shd w:val="clear" w:color="auto" w:fill="FFFFFF"/>
        </w:rPr>
        <w:t>2021</w:t>
      </w:r>
      <w:r>
        <w:rPr>
          <w:rFonts w:hint="eastAsia"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年）》的落实和深化，是统筹全县国土空间保护、开发、利用、修复和指导各类建设的纲领文件，是下层次空间规划的编制依据，是相关专项规划的基础。</w:t>
      </w:r>
    </w:p>
    <w:p w14:paraId="053CECEF">
      <w:pPr>
        <w:pStyle w:val="4"/>
        <w:ind w:firstLine="640"/>
      </w:pPr>
      <w:r>
        <w:rPr>
          <w:rFonts w:hint="eastAsia"/>
        </w:rPr>
        <w:t>指导思想</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0DF5C62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坚持以习近平新时代中国特色社会主义思想为指导，全面贯彻党的二十大和二十届二中、三中全会精神，深入贯彻落实习近平总书记关于湖北工作的重要讲话和指示批示精神，统筹推进“五位一体”总体布局，协调推进“四个全面”战略布局，深度融入长江经济带发展、中部地区崛起等国家重大战略，围绕省委、省政府实施“七大战略”提升“七个能力”加快建成中部地区崛起的重要战略支点目标定位，推动高质量发展，统筹发展和安全，科学划定耕地和永久基本农田保护红线、生态保护红线、城镇开发边界三条控制线</w:t>
      </w:r>
      <w:r>
        <w:rPr>
          <w:rFonts w:hint="eastAsia" w:ascii="仿宋" w:hAnsi="仿宋" w:eastAsia="仿宋" w:cs="仿宋_GB2312"/>
          <w:kern w:val="0"/>
          <w:szCs w:val="32"/>
          <w:shd w:val="clear" w:color="auto" w:fill="FFFFFF"/>
        </w:rPr>
        <w:t>。</w:t>
      </w:r>
      <w:r>
        <w:rPr>
          <w:rFonts w:ascii="仿宋" w:hAnsi="仿宋" w:eastAsia="仿宋" w:cs="仿宋_GB2312"/>
          <w:kern w:val="0"/>
          <w:szCs w:val="32"/>
          <w:shd w:val="clear" w:color="auto" w:fill="FFFFFF"/>
        </w:rPr>
        <w:t>全面提升</w:t>
      </w:r>
      <w:r>
        <w:rPr>
          <w:rFonts w:hint="eastAsia" w:ascii="仿宋" w:hAnsi="仿宋" w:eastAsia="仿宋" w:cs="仿宋_GB2312"/>
          <w:kern w:val="0"/>
          <w:szCs w:val="32"/>
          <w:shd w:val="clear" w:color="auto" w:fill="FFFFFF"/>
        </w:rPr>
        <w:t>县域</w:t>
      </w:r>
      <w:r>
        <w:rPr>
          <w:rFonts w:ascii="仿宋" w:hAnsi="仿宋" w:eastAsia="仿宋" w:cs="仿宋_GB2312"/>
          <w:kern w:val="0"/>
          <w:szCs w:val="32"/>
          <w:shd w:val="clear" w:color="auto" w:fill="FFFFFF"/>
        </w:rPr>
        <w:t>治理体系和治理能力现代化水平，奋力谱写新时代崇阳高质量发展新篇章。</w:t>
      </w:r>
    </w:p>
    <w:bookmarkEnd w:id="48"/>
    <w:bookmarkEnd w:id="49"/>
    <w:bookmarkEnd w:id="50"/>
    <w:bookmarkEnd w:id="51"/>
    <w:bookmarkEnd w:id="52"/>
    <w:bookmarkEnd w:id="53"/>
    <w:bookmarkEnd w:id="54"/>
    <w:bookmarkEnd w:id="55"/>
    <w:bookmarkEnd w:id="56"/>
    <w:bookmarkEnd w:id="57"/>
    <w:bookmarkEnd w:id="58"/>
    <w:p w14:paraId="1BD56458">
      <w:pPr>
        <w:pStyle w:val="4"/>
        <w:ind w:firstLine="640"/>
      </w:pPr>
      <w:bookmarkStart w:id="62" w:name="_Toc138866633"/>
      <w:bookmarkStart w:id="63" w:name="_Toc1587"/>
      <w:bookmarkStart w:id="64" w:name="_Toc16816"/>
      <w:bookmarkStart w:id="65" w:name="_Toc17945"/>
      <w:bookmarkStart w:id="66" w:name="_Toc432"/>
      <w:bookmarkStart w:id="67" w:name="_Toc12361"/>
      <w:bookmarkStart w:id="68" w:name="_Toc19968"/>
      <w:bookmarkStart w:id="69" w:name="_Toc23345"/>
      <w:bookmarkStart w:id="70" w:name="_Toc3787"/>
      <w:bookmarkStart w:id="71" w:name="_Toc20621"/>
      <w:bookmarkStart w:id="72" w:name="_Toc138428804"/>
      <w:bookmarkStart w:id="73" w:name="_Toc2338"/>
      <w:bookmarkStart w:id="74" w:name="_Toc896"/>
      <w:bookmarkStart w:id="75" w:name="_Toc10291"/>
      <w:bookmarkStart w:id="76" w:name="_Toc21007"/>
      <w:r>
        <w:rPr>
          <w:rFonts w:hint="eastAsia"/>
        </w:rPr>
        <w:t>规划依据</w:t>
      </w:r>
    </w:p>
    <w:p w14:paraId="76475D1A">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.《中华人民共和国土地管理法》（</w:t>
      </w:r>
      <w:r>
        <w:rPr>
          <w:rFonts w:ascii="Times New Roman" w:hAnsi="Times New Roman" w:eastAsia="仿宋"/>
          <w:kern w:val="0"/>
          <w:szCs w:val="32"/>
          <w:shd w:val="clear" w:color="auto" w:fill="FFFFFF"/>
        </w:rPr>
        <w:t>2019</w:t>
      </w:r>
      <w:r>
        <w:rPr>
          <w:rFonts w:ascii="仿宋" w:hAnsi="仿宋" w:eastAsia="仿宋" w:cs="仿宋_GB2312"/>
          <w:kern w:val="0"/>
          <w:szCs w:val="32"/>
          <w:shd w:val="clear" w:color="auto" w:fill="FFFFFF"/>
        </w:rPr>
        <w:t>年修正）；</w:t>
      </w:r>
    </w:p>
    <w:p w14:paraId="152C36B2">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2</w:t>
      </w:r>
      <w:r>
        <w:rPr>
          <w:rFonts w:ascii="仿宋" w:hAnsi="仿宋" w:eastAsia="仿宋" w:cs="仿宋_GB2312"/>
          <w:kern w:val="0"/>
          <w:szCs w:val="32"/>
          <w:shd w:val="clear" w:color="auto" w:fill="FFFFFF"/>
        </w:rPr>
        <w:t>.《中华人民共和国城乡规划法》（</w:t>
      </w:r>
      <w:r>
        <w:rPr>
          <w:rFonts w:ascii="Times New Roman" w:hAnsi="Times New Roman" w:eastAsia="仿宋"/>
          <w:kern w:val="0"/>
          <w:szCs w:val="32"/>
          <w:shd w:val="clear" w:color="auto" w:fill="FFFFFF"/>
        </w:rPr>
        <w:t>2019</w:t>
      </w:r>
      <w:r>
        <w:rPr>
          <w:rFonts w:ascii="仿宋" w:hAnsi="仿宋" w:eastAsia="仿宋" w:cs="仿宋_GB2312"/>
          <w:kern w:val="0"/>
          <w:szCs w:val="32"/>
          <w:shd w:val="clear" w:color="auto" w:fill="FFFFFF"/>
        </w:rPr>
        <w:t>年修正）；</w:t>
      </w:r>
    </w:p>
    <w:p w14:paraId="43FA156B">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3</w:t>
      </w:r>
      <w:r>
        <w:rPr>
          <w:rFonts w:ascii="仿宋" w:hAnsi="仿宋" w:eastAsia="仿宋" w:cs="仿宋_GB2312"/>
          <w:kern w:val="0"/>
          <w:szCs w:val="32"/>
          <w:shd w:val="clear" w:color="auto" w:fill="FFFFFF"/>
        </w:rPr>
        <w:t>.《中华人民共和国森林法》（</w:t>
      </w:r>
      <w:r>
        <w:rPr>
          <w:rFonts w:ascii="Times New Roman" w:hAnsi="Times New Roman" w:eastAsia="仿宋"/>
          <w:kern w:val="0"/>
          <w:szCs w:val="32"/>
          <w:shd w:val="clear" w:color="auto" w:fill="FFFFFF"/>
        </w:rPr>
        <w:t>2019</w:t>
      </w:r>
      <w:r>
        <w:rPr>
          <w:rFonts w:ascii="仿宋" w:hAnsi="仿宋" w:eastAsia="仿宋" w:cs="仿宋_GB2312"/>
          <w:kern w:val="0"/>
          <w:szCs w:val="32"/>
          <w:shd w:val="clear" w:color="auto" w:fill="FFFFFF"/>
        </w:rPr>
        <w:t>年修订）；</w:t>
      </w:r>
    </w:p>
    <w:p w14:paraId="368ACEB4">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4</w:t>
      </w:r>
      <w:r>
        <w:rPr>
          <w:rFonts w:ascii="仿宋" w:hAnsi="仿宋" w:eastAsia="仿宋" w:cs="仿宋_GB2312"/>
          <w:kern w:val="0"/>
          <w:szCs w:val="32"/>
          <w:shd w:val="clear" w:color="auto" w:fill="FFFFFF"/>
        </w:rPr>
        <w:t>.《中共中央 国务院关于建立国土空间规划体系并监督实施的若干意见》；</w:t>
      </w:r>
    </w:p>
    <w:p w14:paraId="7D00BD35">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.中共中央办公厅 国务院办公厅印发《关于在国土空间规划中统筹划定落实三条控制线的指导意见》的通知；</w:t>
      </w:r>
    </w:p>
    <w:p w14:paraId="5B8CCDBC">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6</w:t>
      </w:r>
      <w:r>
        <w:rPr>
          <w:rFonts w:ascii="仿宋" w:hAnsi="仿宋" w:eastAsia="仿宋" w:cs="仿宋_GB2312"/>
          <w:kern w:val="0"/>
          <w:szCs w:val="32"/>
          <w:shd w:val="clear" w:color="auto" w:fill="FFFFFF"/>
        </w:rPr>
        <w:t>.《中华人民共和国民经济和社会发展第十四个五年规划和</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年远景目标纲要》；</w:t>
      </w:r>
    </w:p>
    <w:p w14:paraId="5B24FC27">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7</w:t>
      </w:r>
      <w:r>
        <w:rPr>
          <w:rFonts w:ascii="仿宋" w:hAnsi="仿宋" w:eastAsia="仿宋" w:cs="仿宋_GB2312"/>
          <w:kern w:val="0"/>
          <w:szCs w:val="32"/>
          <w:shd w:val="clear" w:color="auto" w:fill="FFFFFF"/>
        </w:rPr>
        <w:t>.《全国国土空间规划纲要（</w:t>
      </w:r>
      <w:r>
        <w:rPr>
          <w:rFonts w:ascii="Times New Roman" w:hAnsi="Times New Roman" w:eastAsia="仿宋"/>
          <w:kern w:val="0"/>
          <w:szCs w:val="32"/>
          <w:shd w:val="clear" w:color="auto" w:fill="FFFFFF"/>
        </w:rPr>
        <w:t>2021</w:t>
      </w:r>
      <w:r>
        <w:rPr>
          <w:rFonts w:hint="eastAsia"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w:t>
      </w:r>
    </w:p>
    <w:p w14:paraId="1F756F47">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8</w:t>
      </w:r>
      <w:r>
        <w:rPr>
          <w:rFonts w:ascii="仿宋" w:hAnsi="仿宋" w:eastAsia="仿宋" w:cs="仿宋_GB2312"/>
          <w:kern w:val="0"/>
          <w:szCs w:val="32"/>
          <w:shd w:val="clear" w:color="auto" w:fill="FFFFFF"/>
        </w:rPr>
        <w:t>.《湖北省国民经济和社会发展第十四个五年规划和二〇三五年远景目标纲要》；</w:t>
      </w:r>
    </w:p>
    <w:p w14:paraId="2750E80D">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9</w:t>
      </w:r>
      <w:r>
        <w:rPr>
          <w:rFonts w:ascii="仿宋" w:hAnsi="仿宋" w:eastAsia="仿宋" w:cs="仿宋_GB2312"/>
          <w:kern w:val="0"/>
          <w:szCs w:val="32"/>
          <w:shd w:val="clear" w:color="auto" w:fill="FFFFFF"/>
        </w:rPr>
        <w:t>.《湖北省国土空间规划（</w:t>
      </w:r>
      <w:r>
        <w:rPr>
          <w:rFonts w:ascii="Times New Roman" w:hAnsi="Times New Roman" w:eastAsia="仿宋"/>
          <w:kern w:val="0"/>
          <w:szCs w:val="32"/>
          <w:shd w:val="clear" w:color="auto" w:fill="FFFFFF"/>
        </w:rPr>
        <w:t>2021</w:t>
      </w:r>
      <w:r>
        <w:rPr>
          <w:rFonts w:hint="eastAsia"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w:t>
      </w:r>
    </w:p>
    <w:p w14:paraId="76540D16">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10</w:t>
      </w:r>
      <w:r>
        <w:rPr>
          <w:rFonts w:ascii="仿宋" w:hAnsi="仿宋" w:eastAsia="仿宋" w:cs="仿宋_GB2312"/>
          <w:kern w:val="0"/>
          <w:szCs w:val="32"/>
          <w:shd w:val="clear" w:color="auto" w:fill="FFFFFF"/>
        </w:rPr>
        <w:t>.《咸宁市国民经济和社会发展第十四个五年规划和</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年远景目标纲要》；</w:t>
      </w:r>
    </w:p>
    <w:p w14:paraId="46C3970F">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11</w:t>
      </w:r>
      <w:r>
        <w:rPr>
          <w:rFonts w:ascii="仿宋" w:hAnsi="仿宋" w:eastAsia="仿宋" w:cs="仿宋_GB2312"/>
          <w:kern w:val="0"/>
          <w:szCs w:val="32"/>
          <w:shd w:val="clear" w:color="auto" w:fill="FFFFFF"/>
        </w:rPr>
        <w:t>.《咸宁市国土空间总体规划（</w:t>
      </w:r>
      <w:r>
        <w:rPr>
          <w:rFonts w:ascii="Times New Roman" w:hAnsi="Times New Roman" w:eastAsia="仿宋"/>
          <w:kern w:val="0"/>
          <w:szCs w:val="32"/>
          <w:shd w:val="clear" w:color="auto" w:fill="FFFFFF"/>
        </w:rPr>
        <w:t>2021</w:t>
      </w:r>
      <w:r>
        <w:rPr>
          <w:rFonts w:hint="eastAsia"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w:t>
      </w:r>
    </w:p>
    <w:p w14:paraId="07B2396B">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12</w:t>
      </w:r>
      <w:r>
        <w:rPr>
          <w:rFonts w:ascii="仿宋" w:hAnsi="仿宋" w:eastAsia="仿宋" w:cs="仿宋_GB2312"/>
          <w:kern w:val="0"/>
          <w:szCs w:val="32"/>
          <w:shd w:val="clear" w:color="auto" w:fill="FFFFFF"/>
        </w:rPr>
        <w:t>.其他相关法律法规和标准规范。</w:t>
      </w:r>
    </w:p>
    <w:p w14:paraId="3391CCBB">
      <w:pPr>
        <w:pStyle w:val="4"/>
        <w:ind w:firstLine="640"/>
      </w:pPr>
      <w:r>
        <w:rPr>
          <w:rFonts w:hint="eastAsia"/>
        </w:rPr>
        <w:t>规划原则</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7673866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绿色发展，底线约束。全面落实生态文明建设要求，划定生态保护红线、永久基本农田和城镇开发边界三条控制线。坚持底线思维，强化约束控制，严守生态安全、粮食安全，严控增量、盘活存量，推动形成绿色发展方式和生活方式，增强城市韧性和可持续发展竞争力。</w:t>
      </w:r>
    </w:p>
    <w:p w14:paraId="2E83250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区域协调，城乡统筹。坚持区域协同、城乡融合，促进崇阳县融入武汉都市圈协调发展区建设，加强生态共保、环境共治、产业共兴、设施共享。坚持城乡融合发展，加强全域全类型用途管制，形成科学合理、适度有序的国土空间开发保护格局，以及镇村统筹发展与美丽乡村建设的制度。</w:t>
      </w:r>
    </w:p>
    <w:p w14:paraId="7000BC7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因地制宜，彰显特色。立足崇阳自然人文禀赋与发展阶段特征，坚持因地制宜开展规划编制，提出差异化发展策略，彰显地域特征、文化特色与时代风貌。</w:t>
      </w:r>
    </w:p>
    <w:p w14:paraId="59B9451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以人为本，品质提升。坚持以人民为中心的发展思想，塑造高品质城乡人居环境，提升人民群众的获得感、幸福感、安全感。深入挖掘自然禀赋和历史文化资源，突出地域特色。科学保障公共服务和公共空间供给，提升人居环境品质，建设宜居宜业的社区生活圈。</w:t>
      </w:r>
    </w:p>
    <w:p w14:paraId="2D2FB154">
      <w:pPr>
        <w:pStyle w:val="4"/>
        <w:ind w:firstLine="640"/>
      </w:pPr>
      <w:bookmarkStart w:id="77" w:name="_Toc27852"/>
      <w:bookmarkStart w:id="78" w:name="_Toc2839"/>
      <w:bookmarkStart w:id="79" w:name="_Toc138866635"/>
      <w:bookmarkStart w:id="80" w:name="_Toc138428806"/>
      <w:bookmarkStart w:id="81" w:name="_Toc10035"/>
      <w:bookmarkStart w:id="82" w:name="_Toc31367"/>
      <w:bookmarkStart w:id="83" w:name="_Toc6502"/>
      <w:bookmarkStart w:id="84" w:name="_Toc11449"/>
      <w:bookmarkStart w:id="85" w:name="_Toc31141"/>
      <w:bookmarkStart w:id="86" w:name="_Toc2709"/>
      <w:bookmarkStart w:id="87" w:name="_Toc6939"/>
      <w:bookmarkStart w:id="88" w:name="_Toc22986"/>
      <w:bookmarkStart w:id="89" w:name="_Toc7121"/>
      <w:bookmarkStart w:id="90" w:name="_Toc11313"/>
      <w:bookmarkStart w:id="91" w:name="_Toc21065"/>
      <w:r>
        <w:rPr>
          <w:rFonts w:hint="eastAsia"/>
        </w:rPr>
        <w:t>规划范围</w:t>
      </w:r>
    </w:p>
    <w:p w14:paraId="6E541A7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本次规划分为县域和中心城区两个层次。县域范围为崇阳县行政辖区范围内的国土空间。中心城区范围包括中心城区建成区及规划扩展区域，东至隽水河，南至杭瑞高速，西至寺前村，北至鹿门铺村省道</w:t>
      </w:r>
      <w:r>
        <w:rPr>
          <w:rFonts w:ascii="Times New Roman" w:hAnsi="Times New Roman" w:eastAsia="仿宋"/>
          <w:kern w:val="0"/>
          <w:szCs w:val="32"/>
          <w:shd w:val="clear" w:color="auto" w:fill="FFFFFF"/>
        </w:rPr>
        <w:t>S319</w:t>
      </w:r>
      <w:r>
        <w:rPr>
          <w:rFonts w:ascii="仿宋" w:hAnsi="仿宋" w:eastAsia="仿宋" w:cs="仿宋_GB2312"/>
          <w:kern w:val="0"/>
          <w:szCs w:val="32"/>
          <w:shd w:val="clear" w:color="auto" w:fill="FFFFFF"/>
        </w:rPr>
        <w:t>。</w:t>
      </w:r>
    </w:p>
    <w:p w14:paraId="209CA143">
      <w:pPr>
        <w:pStyle w:val="4"/>
        <w:ind w:firstLine="640"/>
      </w:pPr>
      <w:r>
        <w:rPr>
          <w:rFonts w:hint="eastAsia"/>
        </w:rPr>
        <w:t>规划期限</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16F4AC4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基期年为</w:t>
      </w:r>
      <w:r>
        <w:rPr>
          <w:rFonts w:ascii="Times New Roman" w:hAnsi="Times New Roman" w:eastAsia="仿宋"/>
          <w:kern w:val="0"/>
          <w:szCs w:val="32"/>
          <w:shd w:val="clear" w:color="auto" w:fill="FFFFFF"/>
        </w:rPr>
        <w:t>2020</w:t>
      </w:r>
      <w:r>
        <w:rPr>
          <w:rFonts w:ascii="仿宋" w:hAnsi="仿宋" w:eastAsia="仿宋" w:cs="仿宋_GB2312"/>
          <w:kern w:val="0"/>
          <w:szCs w:val="32"/>
          <w:shd w:val="clear" w:color="auto" w:fill="FFFFFF"/>
        </w:rPr>
        <w:t>年，规划期限为</w:t>
      </w:r>
      <w:r>
        <w:rPr>
          <w:rFonts w:ascii="Times New Roman" w:hAnsi="Times New Roman" w:eastAsia="仿宋"/>
          <w:kern w:val="0"/>
          <w:szCs w:val="32"/>
          <w:shd w:val="clear" w:color="auto" w:fill="FFFFFF"/>
        </w:rPr>
        <w:t>2021</w:t>
      </w:r>
      <w:r>
        <w:rPr>
          <w:rFonts w:hint="eastAsia"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年，近期至</w:t>
      </w:r>
      <w:r>
        <w:rPr>
          <w:rFonts w:ascii="Times New Roman" w:hAnsi="Times New Roman" w:eastAsia="仿宋"/>
          <w:kern w:val="0"/>
          <w:szCs w:val="32"/>
          <w:shd w:val="clear" w:color="auto" w:fill="FFFFFF"/>
        </w:rPr>
        <w:t>2025</w:t>
      </w:r>
      <w:r>
        <w:rPr>
          <w:rFonts w:ascii="仿宋" w:hAnsi="仿宋" w:eastAsia="仿宋" w:cs="仿宋_GB2312"/>
          <w:kern w:val="0"/>
          <w:szCs w:val="32"/>
          <w:shd w:val="clear" w:color="auto" w:fill="FFFFFF"/>
        </w:rPr>
        <w:t>年，远景展望至</w:t>
      </w:r>
      <w:r>
        <w:rPr>
          <w:rFonts w:ascii="Times New Roman" w:hAnsi="Times New Roman" w:eastAsia="仿宋"/>
          <w:kern w:val="0"/>
          <w:szCs w:val="32"/>
          <w:shd w:val="clear" w:color="auto" w:fill="FFFFFF"/>
        </w:rPr>
        <w:t>2050</w:t>
      </w:r>
      <w:r>
        <w:rPr>
          <w:rFonts w:ascii="仿宋" w:hAnsi="仿宋" w:eastAsia="仿宋" w:cs="仿宋_GB2312"/>
          <w:kern w:val="0"/>
          <w:szCs w:val="32"/>
          <w:shd w:val="clear" w:color="auto" w:fill="FFFFFF"/>
        </w:rPr>
        <w:t>年。</w:t>
      </w:r>
    </w:p>
    <w:p w14:paraId="60B0B36D">
      <w:pPr>
        <w:pStyle w:val="4"/>
        <w:ind w:firstLine="640"/>
      </w:pPr>
      <w:bookmarkStart w:id="92" w:name="_Toc138866637"/>
      <w:r>
        <w:rPr>
          <w:rFonts w:hint="eastAsia"/>
        </w:rPr>
        <w:t>规划效力</w:t>
      </w:r>
    </w:p>
    <w:p w14:paraId="1DC8FE38">
      <w:pPr>
        <w:overflowPunct w:val="0"/>
        <w:spacing w:line="560" w:lineRule="exact"/>
        <w:ind w:firstLine="640"/>
        <w:jc w:val="both"/>
        <w:rPr>
          <w:rFonts w:ascii="宋体" w:hAnsi="宋体" w:eastAsia="宋体" w:cs="宋体"/>
          <w:sz w:val="28"/>
          <w:szCs w:val="28"/>
        </w:rPr>
        <w:sectPr>
          <w:headerReference r:id="rId8" w:type="default"/>
          <w:footerReference r:id="rId9" w:type="default"/>
          <w:pgSz w:w="11906" w:h="16838"/>
          <w:pgMar w:top="1440" w:right="1800" w:bottom="1440" w:left="1800" w:header="851" w:footer="992" w:gutter="0"/>
          <w:cols w:space="720" w:num="1"/>
          <w:docGrid w:type="lines" w:linePitch="312" w:charSpace="0"/>
        </w:sectPr>
      </w:pPr>
      <w:r>
        <w:rPr>
          <w:rFonts w:ascii="仿宋" w:hAnsi="仿宋" w:eastAsia="仿宋" w:cs="仿宋_GB2312"/>
          <w:kern w:val="0"/>
          <w:szCs w:val="32"/>
          <w:shd w:val="clear" w:color="auto" w:fill="FFFFFF"/>
        </w:rPr>
        <w:t>本规划自湖北省人民政府批准之日起生效，由崇阳县人民政府颁布实施，任何单位和个人不得违反和擅自修改。因国家和省级重大战略调整、重大项目建设或行政区划调整等确需修改本规划的，须按照法定程序进行修改。</w:t>
      </w:r>
    </w:p>
    <w:bookmarkEnd w:id="92"/>
    <w:p w14:paraId="5BD3CF9C">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bookmarkStart w:id="93" w:name="_Toc22987"/>
      <w:bookmarkStart w:id="94" w:name="_Toc663"/>
      <w:bookmarkStart w:id="95" w:name="_Toc29415"/>
      <w:bookmarkStart w:id="96" w:name="_Toc23220"/>
      <w:bookmarkStart w:id="97" w:name="_Toc12379"/>
      <w:bookmarkStart w:id="98" w:name="_Toc1291"/>
      <w:bookmarkStart w:id="99" w:name="_Toc15182"/>
      <w:bookmarkStart w:id="100" w:name="_Toc6899"/>
      <w:bookmarkStart w:id="101" w:name="_Toc11390"/>
      <w:bookmarkStart w:id="102" w:name="_Toc138866661"/>
      <w:bookmarkStart w:id="103" w:name="_Toc17969"/>
      <w:bookmarkStart w:id="104" w:name="_Toc8716"/>
      <w:bookmarkStart w:id="105" w:name="_Toc8121"/>
      <w:bookmarkStart w:id="106" w:name="_Toc13545"/>
      <w:bookmarkStart w:id="107" w:name="_Toc13073"/>
      <w:bookmarkStart w:id="108" w:name="_Toc25754"/>
      <w:bookmarkStart w:id="109" w:name="_Toc18815"/>
      <w:bookmarkStart w:id="110" w:name="_Toc10044"/>
      <w:bookmarkStart w:id="111" w:name="_Toc14573"/>
      <w:bookmarkStart w:id="112" w:name="_Toc18300"/>
      <w:bookmarkStart w:id="113" w:name="_Toc29673"/>
      <w:bookmarkStart w:id="114" w:name="_Toc19619"/>
      <w:bookmarkStart w:id="115" w:name="_Toc17586"/>
      <w:bookmarkStart w:id="116" w:name="_Toc14267"/>
      <w:bookmarkStart w:id="117" w:name="_Toc138866951"/>
      <w:r>
        <w:rPr>
          <w:rFonts w:hint="eastAsia" w:ascii="黑体" w:hAnsi="黑体" w:eastAsia="黑体" w:cs="方正小标宋_GBK"/>
          <w:bCs w:val="0"/>
          <w:szCs w:val="36"/>
        </w:rPr>
        <w:t>第二章 目标定位与空间战略</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69011A6C">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18" w:name="_Toc5138"/>
      <w:bookmarkStart w:id="119" w:name="_Toc23425"/>
      <w:bookmarkStart w:id="120" w:name="_Toc7956"/>
      <w:bookmarkStart w:id="121" w:name="_Toc19215"/>
      <w:bookmarkStart w:id="122" w:name="_Toc11237"/>
      <w:bookmarkStart w:id="123" w:name="_Toc138866953"/>
      <w:bookmarkStart w:id="124" w:name="_Toc29234"/>
      <w:bookmarkStart w:id="125" w:name="_Toc7023"/>
      <w:bookmarkStart w:id="126" w:name="_Toc2252"/>
      <w:bookmarkStart w:id="127" w:name="_Toc138866665"/>
      <w:bookmarkStart w:id="128" w:name="_Toc28312"/>
      <w:bookmarkStart w:id="129" w:name="_Toc28119"/>
      <w:bookmarkStart w:id="130" w:name="_Toc29536"/>
      <w:bookmarkStart w:id="131" w:name="_Toc10081"/>
      <w:bookmarkStart w:id="132" w:name="_Toc28330"/>
      <w:bookmarkStart w:id="133" w:name="_Toc28367"/>
      <w:bookmarkStart w:id="134" w:name="_Toc8066"/>
      <w:bookmarkStart w:id="135" w:name="_Toc3074"/>
      <w:bookmarkStart w:id="136" w:name="_Toc6712"/>
      <w:bookmarkStart w:id="137" w:name="_Toc31654"/>
      <w:bookmarkStart w:id="138" w:name="_Toc19777"/>
      <w:bookmarkStart w:id="139" w:name="_Toc7193"/>
      <w:bookmarkStart w:id="140" w:name="_Toc5399"/>
      <w:bookmarkStart w:id="141" w:name="_Toc7310"/>
      <w:bookmarkStart w:id="142" w:name="_Toc1594"/>
      <w:r>
        <w:rPr>
          <w:rFonts w:hint="eastAsia" w:ascii="黑体" w:hAnsi="黑体" w:cs="黑体"/>
          <w:bCs w:val="0"/>
        </w:rPr>
        <w:t>第一节 城市性质</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Fonts w:hint="eastAsia" w:ascii="黑体" w:hAnsi="黑体" w:cs="黑体"/>
          <w:bCs w:val="0"/>
        </w:rPr>
        <w:t>与目标愿景</w:t>
      </w:r>
      <w:bookmarkEnd w:id="142"/>
    </w:p>
    <w:p w14:paraId="555A5FCA">
      <w:pPr>
        <w:pStyle w:val="4"/>
        <w:ind w:firstLine="640"/>
      </w:pPr>
      <w:r>
        <w:rPr>
          <w:rFonts w:hint="eastAsia"/>
        </w:rPr>
        <w:t>城市性质</w:t>
      </w:r>
    </w:p>
    <w:p w14:paraId="204D7A6E">
      <w:pPr>
        <w:overflowPunct w:val="0"/>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崇阳县立足丰富</w:t>
      </w:r>
      <w:r>
        <w:rPr>
          <w:rFonts w:hint="eastAsia" w:ascii="仿宋" w:hAnsi="仿宋" w:eastAsia="仿宋" w:cs="仿宋_GB2312"/>
          <w:kern w:val="0"/>
          <w:szCs w:val="32"/>
          <w:shd w:val="clear" w:color="auto" w:fill="FFFFFF"/>
        </w:rPr>
        <w:t>多样</w:t>
      </w:r>
      <w:r>
        <w:rPr>
          <w:rFonts w:ascii="仿宋" w:hAnsi="仿宋" w:eastAsia="仿宋" w:cs="仿宋_GB2312"/>
          <w:kern w:val="0"/>
          <w:szCs w:val="32"/>
          <w:shd w:val="clear" w:color="auto" w:fill="FFFFFF"/>
        </w:rPr>
        <w:t>的自然资源、深厚的文化底蕴以及良好的产业基础，突出城乡</w:t>
      </w:r>
      <w:r>
        <w:rPr>
          <w:rFonts w:hint="eastAsia" w:ascii="仿宋" w:hAnsi="仿宋" w:eastAsia="仿宋" w:cs="仿宋_GB2312"/>
          <w:kern w:val="0"/>
          <w:szCs w:val="32"/>
          <w:shd w:val="clear" w:color="auto" w:fill="FFFFFF"/>
        </w:rPr>
        <w:t>融合发展</w:t>
      </w:r>
      <w:r>
        <w:rPr>
          <w:rFonts w:ascii="仿宋" w:hAnsi="仿宋" w:eastAsia="仿宋" w:cs="仿宋_GB2312"/>
          <w:kern w:val="0"/>
          <w:szCs w:val="32"/>
          <w:shd w:val="clear" w:color="auto" w:fill="FFFFFF"/>
        </w:rPr>
        <w:t>，</w:t>
      </w:r>
      <w:r>
        <w:rPr>
          <w:rFonts w:hint="eastAsia" w:ascii="仿宋" w:hAnsi="仿宋" w:eastAsia="仿宋" w:cs="仿宋_GB2312"/>
          <w:kern w:val="0"/>
          <w:szCs w:val="32"/>
          <w:shd w:val="clear" w:color="auto" w:fill="FFFFFF"/>
        </w:rPr>
        <w:t>确定崇阳县城市性质为</w:t>
      </w:r>
      <w:r>
        <w:rPr>
          <w:rFonts w:ascii="仿宋" w:hAnsi="仿宋" w:eastAsia="仿宋" w:cs="仿宋_GB2312"/>
          <w:kern w:val="0"/>
          <w:szCs w:val="32"/>
          <w:shd w:val="clear" w:color="auto" w:fill="FFFFFF"/>
        </w:rPr>
        <w:t>幕阜山区绿色产业县，湖北省全域旅游示范县。</w:t>
      </w:r>
    </w:p>
    <w:p w14:paraId="1E874DB7">
      <w:pPr>
        <w:overflowPunct w:val="0"/>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幕阜山区绿色产业县。崇阳县将立足新阶段，贯彻新理念，融入新格局，依托幕阜山区丰富的自然资源与生态环境，在农业上，推广绿色有机种植，壮大雷竹、茶叶等特色产业，延伸产业链，提升附加值；生态旅游方面，整合山水人文资源，开发特色旅游线路，完善配套设施，提升服务质量；工业领域，引入绿色新兴产业，推动传统工业绿色转型，加强生态环境保护与治理，严守生态红线。同时，强化科技创新，培养专业人才，借助政策支持与多方合作，推动产业融合发展，实现经济与生态协调共进，努力建设幕阜山区绿色产业县。</w:t>
      </w:r>
    </w:p>
    <w:p w14:paraId="457F35B2">
      <w:pPr>
        <w:overflowPunct w:val="0"/>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湖北省全域旅游示范县。</w:t>
      </w:r>
      <w:r>
        <w:rPr>
          <w:rFonts w:hint="eastAsia" w:ascii="仿宋" w:hAnsi="仿宋" w:eastAsia="仿宋" w:cs="仿宋_GB2312"/>
          <w:kern w:val="0"/>
          <w:szCs w:val="32"/>
          <w:shd w:val="clear" w:color="auto" w:fill="FFFFFF"/>
        </w:rPr>
        <w:t>立足新发展阶段，全面贯彻新发展理念，不断深化改革，加快创新驱动，</w:t>
      </w:r>
      <w:r>
        <w:rPr>
          <w:rFonts w:ascii="仿宋" w:hAnsi="仿宋" w:eastAsia="仿宋" w:cs="仿宋_GB2312"/>
          <w:kern w:val="0"/>
          <w:szCs w:val="32"/>
          <w:shd w:val="clear" w:color="auto" w:fill="FFFFFF"/>
        </w:rPr>
        <w:t>深度挖掘丰富的自然景观以及深厚的历史文化资源，整合资源打造多元化旅游产品，开发山水生态游、历史文化游等特色线路。完善交通、住宿等旅游基础设施，提升游客可达性与舒适度。通过多渠道宣传推广，塑造崇阳特色旅游品牌，促进文旅产业与其他产业深度融合，构建全域共建、全民共享的旅游发展格局，</w:t>
      </w:r>
      <w:r>
        <w:rPr>
          <w:rFonts w:hint="eastAsia" w:ascii="仿宋" w:hAnsi="仿宋" w:eastAsia="仿宋" w:cs="仿宋_GB2312"/>
          <w:kern w:val="0"/>
          <w:szCs w:val="32"/>
          <w:shd w:val="clear" w:color="auto" w:fill="FFFFFF"/>
        </w:rPr>
        <w:t>持续推进</w:t>
      </w:r>
      <w:r>
        <w:rPr>
          <w:rFonts w:ascii="仿宋" w:hAnsi="仿宋" w:eastAsia="仿宋" w:cs="仿宋_GB2312"/>
          <w:kern w:val="0"/>
          <w:szCs w:val="32"/>
          <w:shd w:val="clear" w:color="auto" w:fill="FFFFFF"/>
        </w:rPr>
        <w:t>崇阳全域旅游高质量发展，努力建设湖北省全域旅游示范县。</w:t>
      </w:r>
    </w:p>
    <w:p w14:paraId="31E144D4">
      <w:pPr>
        <w:pStyle w:val="4"/>
        <w:ind w:firstLine="640"/>
        <w:rPr>
          <w:rFonts w:ascii="楷体_GB2312" w:hAnsi="楷体_GB2312" w:eastAsia="楷体_GB2312" w:cs="楷体_GB2312"/>
        </w:rPr>
      </w:pPr>
      <w:r>
        <w:rPr>
          <w:rFonts w:hint="eastAsia" w:ascii="楷体_GB2312" w:hAnsi="楷体_GB2312" w:eastAsia="楷体_GB2312" w:cs="楷体_GB2312"/>
        </w:rPr>
        <w:t>功能定位</w:t>
      </w:r>
    </w:p>
    <w:p w14:paraId="49D5F224">
      <w:pPr>
        <w:widowControl/>
        <w:shd w:val="clear" w:color="auto" w:fill="FFFFFF"/>
        <w:spacing w:line="560" w:lineRule="exact"/>
        <w:ind w:firstLine="640"/>
        <w:rPr>
          <w:rFonts w:ascii="仿宋" w:hAnsi="仿宋" w:eastAsia="仿宋" w:cs="仿宋_GB2312"/>
          <w:kern w:val="0"/>
          <w:szCs w:val="32"/>
          <w:shd w:val="clear" w:color="auto" w:fill="FFFFFF"/>
        </w:rPr>
      </w:pPr>
      <w:r>
        <w:rPr>
          <w:rFonts w:hint="eastAsia" w:ascii="仿宋" w:hAnsi="仿宋" w:eastAsia="仿宋" w:cs="仿宋_GB2312"/>
          <w:kern w:val="0"/>
          <w:szCs w:val="32"/>
          <w:shd w:val="clear" w:color="auto" w:fill="FFFFFF"/>
        </w:rPr>
        <w:t>崇阳县依托自然生态资源、特色产业基础与文化底蕴，深度融入区域协同发展，努力建设</w:t>
      </w:r>
      <w:r>
        <w:rPr>
          <w:rFonts w:ascii="仿宋" w:hAnsi="仿宋" w:eastAsia="仿宋" w:cs="仿宋_GB2312"/>
          <w:kern w:val="0"/>
          <w:szCs w:val="32"/>
          <w:shd w:val="clear" w:color="auto" w:fill="FFFFFF"/>
        </w:rPr>
        <w:t>美丽乡村典范县</w:t>
      </w:r>
      <w:r>
        <w:rPr>
          <w:rFonts w:hint="eastAsia" w:ascii="仿宋" w:hAnsi="仿宋" w:eastAsia="仿宋" w:cs="仿宋_GB2312"/>
          <w:kern w:val="0"/>
          <w:szCs w:val="32"/>
          <w:shd w:val="clear" w:color="auto" w:fill="FFFFFF"/>
        </w:rPr>
        <w:t>，</w:t>
      </w:r>
      <w:r>
        <w:rPr>
          <w:rFonts w:ascii="仿宋" w:hAnsi="仿宋" w:eastAsia="仿宋" w:cs="仿宋_GB2312"/>
          <w:kern w:val="0"/>
          <w:szCs w:val="32"/>
          <w:shd w:val="clear" w:color="auto" w:fill="FFFFFF"/>
        </w:rPr>
        <w:t>生态文明建设示范县</w:t>
      </w:r>
      <w:r>
        <w:rPr>
          <w:rFonts w:hint="eastAsia" w:ascii="仿宋" w:hAnsi="仿宋" w:eastAsia="仿宋" w:cs="仿宋_GB2312"/>
          <w:kern w:val="0"/>
          <w:szCs w:val="32"/>
          <w:shd w:val="clear" w:color="auto" w:fill="FFFFFF"/>
        </w:rPr>
        <w:t>。</w:t>
      </w:r>
    </w:p>
    <w:p w14:paraId="155F1EB4">
      <w:pPr>
        <w:widowControl/>
        <w:shd w:val="clear" w:color="auto" w:fill="FFFFFF"/>
        <w:spacing w:line="560" w:lineRule="exact"/>
        <w:ind w:firstLine="640"/>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美丽乡村典范县。落实大力实施美丽湖北战略，发挥幕阜山区自然资源和生态资源优势，做好现代农业、全域旅游等文章，梯次推进美丽城市、美丽乡村、美丽山川建设，拓宽绿水青山与金山银山的转化通道，促进一二三产业融合发展，崇阳县努力建设美丽乡村典范县。</w:t>
      </w:r>
    </w:p>
    <w:p w14:paraId="72067461">
      <w:pPr>
        <w:widowControl/>
        <w:shd w:val="clear" w:color="auto" w:fill="FFFFFF"/>
        <w:spacing w:line="560" w:lineRule="exact"/>
        <w:ind w:firstLine="640"/>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生态文明建设示范县</w:t>
      </w:r>
      <w:r>
        <w:rPr>
          <w:rFonts w:hint="eastAsia" w:ascii="仿宋" w:hAnsi="仿宋" w:eastAsia="仿宋" w:cs="仿宋_GB2312"/>
          <w:kern w:val="0"/>
          <w:szCs w:val="32"/>
          <w:shd w:val="clear" w:color="auto" w:fill="FFFFFF"/>
        </w:rPr>
        <w:t>。崇阳县立足幕阜山脉生态屏障的重要区位，深入践行 “绿水青山就是金山银山”理念，统筹推进生态保护、环境治理与绿色发展。通过构建全域生态修复体系，严守生态保护红线，打造国家级森林公园、湿地公园等生态名片；推动生态旅游与绿色农业深度融合，建设生态康养目的地与农文旅融合样板区，努力构建山清水秀、绿色低碳、宜居宜业的生态文明县典范。</w:t>
      </w:r>
    </w:p>
    <w:p w14:paraId="00233151">
      <w:pPr>
        <w:pStyle w:val="4"/>
        <w:ind w:firstLine="640"/>
      </w:pPr>
      <w:r>
        <w:rPr>
          <w:rFonts w:hint="eastAsia"/>
        </w:rPr>
        <w:t>规划目标</w:t>
      </w:r>
    </w:p>
    <w:p w14:paraId="4999F4D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落实党中央、国务院和省委、省政府有关要求，贯彻落实党的二十大精神、省第十二次党代会精神，落实国家和省级战略，按照“在长江经济带高质量发展中奋勇争先，加快建成中部地区崛起的重要战略支点，奋力谱写中国式现代化湖北篇章”的总体要求，坚持绿色发展和低碳转型，大力实施能级跨越战略，整体提升支点的战略支撑力，落实咸宁打造武汉都市圈自然生态公园城市发展战略，加快全国美丽乡村典范县建设。</w:t>
      </w:r>
    </w:p>
    <w:p w14:paraId="13D2A6BE">
      <w:pPr>
        <w:widowControl/>
        <w:shd w:val="clear" w:color="auto" w:fill="FFFFFF"/>
        <w:spacing w:line="560" w:lineRule="exact"/>
        <w:ind w:firstLine="640"/>
        <w:rPr>
          <w:rFonts w:ascii="仿宋" w:hAnsi="仿宋" w:eastAsia="仿宋" w:cs="仿宋_GB2312"/>
          <w:kern w:val="0"/>
          <w:szCs w:val="32"/>
          <w:shd w:val="clear" w:color="auto" w:fill="FFFFFF"/>
        </w:rPr>
      </w:pPr>
      <w:bookmarkStart w:id="143" w:name="_Toc8096"/>
      <w:bookmarkStart w:id="144" w:name="_Toc31280"/>
      <w:bookmarkStart w:id="145" w:name="_Toc13400"/>
      <w:bookmarkStart w:id="146" w:name="_Toc7141"/>
      <w:bookmarkStart w:id="147" w:name="_Toc22959"/>
      <w:bookmarkStart w:id="148" w:name="_Toc3108"/>
      <w:bookmarkStart w:id="149" w:name="_Toc138866676"/>
      <w:bookmarkStart w:id="150" w:name="_Toc4218"/>
      <w:bookmarkStart w:id="151" w:name="_Toc31470"/>
      <w:bookmarkStart w:id="152" w:name="_Toc4551"/>
      <w:bookmarkStart w:id="153" w:name="_Toc29081"/>
      <w:bookmarkStart w:id="154" w:name="_Toc12914"/>
      <w:bookmarkStart w:id="155" w:name="_Toc7158"/>
      <w:bookmarkStart w:id="156" w:name="_Toc138866954"/>
      <w:bookmarkStart w:id="157" w:name="_Toc27907"/>
      <w:bookmarkStart w:id="158" w:name="_Toc8191"/>
      <w:bookmarkStart w:id="159" w:name="_Toc31390"/>
      <w:bookmarkStart w:id="160" w:name="_Toc8836"/>
      <w:bookmarkStart w:id="161" w:name="_Toc13391"/>
      <w:bookmarkStart w:id="162" w:name="_Toc16121"/>
      <w:bookmarkStart w:id="163" w:name="_Toc9661"/>
      <w:bookmarkStart w:id="164" w:name="_Toc13539"/>
      <w:bookmarkStart w:id="165" w:name="_Toc10480"/>
      <w:bookmarkStart w:id="166" w:name="_Toc15335"/>
      <w:r>
        <w:rPr>
          <w:rFonts w:hint="eastAsia" w:ascii="仿宋" w:hAnsi="仿宋" w:eastAsia="仿宋" w:cs="仿宋_GB2312"/>
          <w:kern w:val="0"/>
          <w:szCs w:val="32"/>
          <w:shd w:val="clear" w:color="auto" w:fill="FFFFFF"/>
        </w:rPr>
        <w:t>筑牢高水平国土空间安全新根基</w:t>
      </w:r>
      <w:r>
        <w:rPr>
          <w:rFonts w:ascii="仿宋" w:hAnsi="仿宋" w:eastAsia="仿宋" w:cs="仿宋_GB2312"/>
          <w:kern w:val="0"/>
          <w:szCs w:val="32"/>
          <w:shd w:val="clear" w:color="auto" w:fill="FFFFFF"/>
        </w:rPr>
        <w:t>。守住水安全、水环境安全、粮食安全和生态安全底线，全面推动流域综合治理，全方位提高防灾减灾能力。三条控制线得到有效控制。农业空间、生态空间和城镇空间布局合理，自然资源保护与利用更加科学。</w:t>
      </w:r>
    </w:p>
    <w:p w14:paraId="57F6A600">
      <w:pPr>
        <w:widowControl/>
        <w:shd w:val="clear" w:color="auto" w:fill="FFFFFF"/>
        <w:spacing w:line="560" w:lineRule="exact"/>
        <w:ind w:firstLine="640"/>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至</w:t>
      </w:r>
      <w:r>
        <w:rPr>
          <w:rFonts w:ascii="Times New Roman" w:hAnsi="Times New Roman" w:eastAsia="仿宋"/>
          <w:kern w:val="0"/>
          <w:szCs w:val="32"/>
          <w:shd w:val="clear" w:color="auto" w:fill="FFFFFF"/>
        </w:rPr>
        <w:t>2025</w:t>
      </w:r>
      <w:r>
        <w:rPr>
          <w:rFonts w:ascii="仿宋" w:hAnsi="仿宋" w:eastAsia="仿宋" w:cs="仿宋_GB2312"/>
          <w:kern w:val="0"/>
          <w:szCs w:val="32"/>
          <w:shd w:val="clear" w:color="auto" w:fill="FFFFFF"/>
        </w:rPr>
        <w:t>年，国土空间开发保护格局得到优化，空间治理框架基本形成。耕地和永久基本农田、生态保护红线得到有效保护，河湖水系、森林、山体等生态功能得到大幅提升，资源利用水平显著提高，国土空间承载力稳步提升。</w:t>
      </w:r>
    </w:p>
    <w:p w14:paraId="194E5E72">
      <w:pPr>
        <w:widowControl/>
        <w:shd w:val="clear" w:color="auto" w:fill="FFFFFF"/>
        <w:spacing w:line="560" w:lineRule="exact"/>
        <w:ind w:firstLine="640"/>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至</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全面提升国土空间治理体系和治理能力现代化水平，形成生产空间集约高效、生活空间宜居适度、生态空间山清水秀，安全和谐、富有竞争力和可持续发展的国土空间格局。农业空间优质高效，农业现代化水平明显提高，农业质量效益和竞争力稳步提升。生态安全格局更加完整稳固，生态空间更加健康安全，山水林田湖草矿等要素得到系统化治理和修复，生物多样性网格更加完善。城镇空间繁荣宜居。构建中心引领、组团协同、网络链接的城市空间发展格局，土地利用集约高效，现代化产业体系基本建成，共同富裕取得实质性进展，人居环境更加完善，文化特色有效凸显，公共服务更加普惠，城镇生活圈实现全覆盖。</w:t>
      </w:r>
    </w:p>
    <w:p w14:paraId="7EF2CE09">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67" w:name="_Toc11426"/>
      <w:r>
        <w:rPr>
          <w:rFonts w:hint="eastAsia" w:ascii="黑体" w:hAnsi="黑体" w:cs="黑体"/>
          <w:bCs w:val="0"/>
        </w:rPr>
        <w:t>第二节 规划指标</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Fonts w:hint="eastAsia" w:ascii="黑体" w:hAnsi="黑体" w:cs="黑体"/>
          <w:bCs w:val="0"/>
        </w:rPr>
        <w:t>体系</w:t>
      </w:r>
      <w:bookmarkEnd w:id="167"/>
    </w:p>
    <w:p w14:paraId="2226F49F">
      <w:pPr>
        <w:pStyle w:val="4"/>
        <w:ind w:firstLine="640"/>
      </w:pPr>
      <w:bookmarkStart w:id="168" w:name="_Toc138428829"/>
      <w:bookmarkStart w:id="169" w:name="_Toc10512"/>
      <w:bookmarkStart w:id="170" w:name="_Toc22238"/>
      <w:bookmarkStart w:id="171" w:name="_Toc15430"/>
      <w:bookmarkStart w:id="172" w:name="_Toc138866679"/>
      <w:bookmarkStart w:id="173" w:name="_Toc12899"/>
      <w:bookmarkStart w:id="174" w:name="_Toc1945"/>
      <w:bookmarkStart w:id="175" w:name="_Toc2795"/>
      <w:bookmarkStart w:id="176" w:name="_Toc16712"/>
      <w:bookmarkStart w:id="177" w:name="_Toc23420"/>
      <w:r>
        <w:rPr>
          <w:rFonts w:hint="eastAsia"/>
        </w:rPr>
        <w:t>规划指标体系</w:t>
      </w:r>
      <w:bookmarkEnd w:id="168"/>
      <w:bookmarkEnd w:id="169"/>
      <w:bookmarkEnd w:id="170"/>
      <w:bookmarkEnd w:id="171"/>
      <w:bookmarkEnd w:id="172"/>
      <w:bookmarkEnd w:id="173"/>
      <w:bookmarkEnd w:id="174"/>
      <w:bookmarkEnd w:id="175"/>
      <w:bookmarkEnd w:id="176"/>
      <w:bookmarkEnd w:id="177"/>
    </w:p>
    <w:p w14:paraId="780B029B">
      <w:pPr>
        <w:widowControl/>
        <w:shd w:val="clear" w:color="auto" w:fill="FFFFFF"/>
        <w:spacing w:line="560" w:lineRule="exact"/>
        <w:ind w:firstLine="640"/>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从空间底线、空间结构与效率、空间品质等三个方面形成</w:t>
      </w:r>
      <w:r>
        <w:rPr>
          <w:rFonts w:ascii="Times New Roman" w:hAnsi="Times New Roman" w:eastAsia="仿宋"/>
          <w:kern w:val="0"/>
          <w:szCs w:val="32"/>
          <w:shd w:val="clear" w:color="auto" w:fill="FFFFFF"/>
        </w:rPr>
        <w:t>24</w:t>
      </w:r>
      <w:r>
        <w:rPr>
          <w:rFonts w:ascii="仿宋" w:hAnsi="仿宋" w:eastAsia="仿宋" w:cs="仿宋_GB2312"/>
          <w:kern w:val="0"/>
          <w:szCs w:val="32"/>
          <w:shd w:val="clear" w:color="auto" w:fill="FFFFFF"/>
        </w:rPr>
        <w:t>项</w:t>
      </w:r>
      <w:r>
        <w:rPr>
          <w:rFonts w:hint="eastAsia" w:ascii="仿宋" w:hAnsi="仿宋" w:eastAsia="仿宋" w:cs="仿宋_GB2312"/>
          <w:kern w:val="0"/>
          <w:szCs w:val="32"/>
          <w:shd w:val="clear" w:color="auto" w:fill="FFFFFF"/>
        </w:rPr>
        <w:t>指标</w:t>
      </w:r>
      <w:r>
        <w:rPr>
          <w:rFonts w:ascii="仿宋" w:hAnsi="仿宋" w:eastAsia="仿宋" w:cs="仿宋_GB2312"/>
          <w:kern w:val="0"/>
          <w:szCs w:val="32"/>
          <w:shd w:val="clear" w:color="auto" w:fill="FFFFFF"/>
        </w:rPr>
        <w:t>。其中包括</w:t>
      </w:r>
      <w:r>
        <w:rPr>
          <w:rFonts w:ascii="Times New Roman" w:hAnsi="Times New Roman" w:eastAsia="仿宋"/>
          <w:kern w:val="0"/>
          <w:szCs w:val="32"/>
          <w:shd w:val="clear" w:color="auto" w:fill="FFFFFF"/>
        </w:rPr>
        <w:t>7</w:t>
      </w:r>
      <w:r>
        <w:rPr>
          <w:rFonts w:ascii="仿宋" w:hAnsi="仿宋" w:eastAsia="仿宋" w:cs="仿宋_GB2312"/>
          <w:kern w:val="0"/>
          <w:szCs w:val="32"/>
          <w:shd w:val="clear" w:color="auto" w:fill="FFFFFF"/>
        </w:rPr>
        <w:t>个约束性指标、</w:t>
      </w:r>
      <w:r>
        <w:rPr>
          <w:rFonts w:ascii="Times New Roman" w:hAnsi="Times New Roman" w:eastAsia="仿宋"/>
          <w:kern w:val="0"/>
          <w:szCs w:val="32"/>
          <w:shd w:val="clear" w:color="auto" w:fill="FFFFFF"/>
        </w:rPr>
        <w:t>17</w:t>
      </w:r>
      <w:r>
        <w:rPr>
          <w:rFonts w:ascii="仿宋" w:hAnsi="仿宋" w:eastAsia="仿宋" w:cs="仿宋_GB2312"/>
          <w:kern w:val="0"/>
          <w:szCs w:val="32"/>
          <w:shd w:val="clear" w:color="auto" w:fill="FFFFFF"/>
        </w:rPr>
        <w:t>个预期性指标。对相关约束性指标分解至乡镇，主要包括耕地、永久基本农田、生态保护红线、城镇开发边界。</w:t>
      </w:r>
    </w:p>
    <w:p w14:paraId="7906A5BA">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78" w:name="_Toc26657"/>
      <w:bookmarkStart w:id="179" w:name="_Toc17854"/>
      <w:bookmarkStart w:id="180" w:name="_Toc29171"/>
      <w:bookmarkStart w:id="181" w:name="_Toc2477"/>
      <w:bookmarkStart w:id="182" w:name="_Toc16905"/>
      <w:bookmarkStart w:id="183" w:name="_Toc9323"/>
      <w:bookmarkStart w:id="184" w:name="_Toc138866681"/>
      <w:bookmarkStart w:id="185" w:name="_Toc16249"/>
      <w:bookmarkStart w:id="186" w:name="_Toc4166"/>
      <w:bookmarkStart w:id="187" w:name="_Toc5160"/>
      <w:bookmarkStart w:id="188" w:name="_Toc24521"/>
      <w:bookmarkStart w:id="189" w:name="_Toc4568"/>
      <w:bookmarkStart w:id="190" w:name="_Toc138866955"/>
      <w:bookmarkStart w:id="191" w:name="_Toc15409"/>
      <w:bookmarkStart w:id="192" w:name="_Toc2006"/>
      <w:bookmarkStart w:id="193" w:name="_Toc12372"/>
      <w:bookmarkStart w:id="194" w:name="_Toc830"/>
      <w:bookmarkStart w:id="195" w:name="_Toc27803"/>
      <w:bookmarkStart w:id="196" w:name="_Toc10408"/>
      <w:bookmarkStart w:id="197" w:name="_Toc2696"/>
      <w:bookmarkStart w:id="198" w:name="_Toc8841"/>
      <w:bookmarkStart w:id="199" w:name="_Toc20125"/>
      <w:bookmarkStart w:id="200" w:name="_Toc20392"/>
      <w:bookmarkStart w:id="201" w:name="_Toc18681"/>
      <w:bookmarkStart w:id="202" w:name="_Toc9726"/>
      <w:r>
        <w:rPr>
          <w:rFonts w:hint="eastAsia" w:ascii="黑体" w:hAnsi="黑体" w:cs="黑体"/>
          <w:bCs w:val="0"/>
        </w:rPr>
        <w:t>第三节 国土空间开发保护战略</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32E5872C">
      <w:pPr>
        <w:pStyle w:val="4"/>
        <w:ind w:firstLine="640"/>
      </w:pPr>
      <w:bookmarkStart w:id="203" w:name="_Toc138866682"/>
      <w:r>
        <w:rPr>
          <w:rFonts w:hint="eastAsia"/>
        </w:rPr>
        <w:t>融入循环战略</w:t>
      </w:r>
      <w:bookmarkEnd w:id="203"/>
    </w:p>
    <w:p w14:paraId="0EDD775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大力实施枢纽提能战略，整体提升支点的开发辐射力。借力长江经济带和武汉都市圈大平台，充分利用日益改善的交通区位条件和发挥生态旅游资源基础优势，产业绿色转型升级发展，主动参与区域分工协作，找准在区域中的功能定位，以差异化发展参与区域经济循环。</w:t>
      </w:r>
    </w:p>
    <w:p w14:paraId="2A6A2DC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大力实施能级跨越战略，整体提升支点的战略支撑力。充分发挥崇阳县位于武汉都市圈的区位优势，借助咸宁中心城市的经济动力推动县域的产业结构转换与升级、空间结构重组与优化以及各项设施建设的完善，实施“接轨武汉”战略。积极创造条件，主动承接武汉产业、资金、人才等要素向本地扩散。进一步加强与周边大城市的经济联系和合作，主动对接、融入周边武汉都市圈，承接各类要素外溢效益，加强区域合作，将几何中心转化为“区域要素承载、合作中心”，从“湖北省域边缘城市”走向“武汉都市圈重点县级城市”，成为武汉都市圈和咸宁市域经济体的重要组成部分。</w:t>
      </w:r>
    </w:p>
    <w:p w14:paraId="13C73900">
      <w:pPr>
        <w:pStyle w:val="4"/>
        <w:ind w:firstLine="640"/>
      </w:pPr>
      <w:bookmarkStart w:id="204" w:name="_Toc138866683"/>
      <w:r>
        <w:rPr>
          <w:rFonts w:hint="eastAsia"/>
        </w:rPr>
        <w:t>强化韧性战略</w:t>
      </w:r>
      <w:bookmarkEnd w:id="204"/>
    </w:p>
    <w:p w14:paraId="25A278F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大力实施美丽崇阳战略，整体提升支点的生态承力。确定底线管控要素，增强发展韧性，促进可持续发展。树立底线思维、极限思维，统筹兼顾经济、生活、生态、安全等多元需要，坚持耕地保护优先、立足守住自然生态安全边界，筑牢粮食安全、生态安全、公共安全、水安全等国土空间安全底线，完善国土安全基础设施，增强空间韧性。</w:t>
      </w:r>
    </w:p>
    <w:p w14:paraId="2FC7A541">
      <w:pPr>
        <w:pStyle w:val="4"/>
        <w:ind w:firstLine="640"/>
      </w:pPr>
      <w:bookmarkStart w:id="205" w:name="_Toc138866686"/>
      <w:r>
        <w:rPr>
          <w:rFonts w:hint="eastAsia"/>
        </w:rPr>
        <w:t>增存并举战略</w:t>
      </w:r>
      <w:bookmarkEnd w:id="205"/>
    </w:p>
    <w:p w14:paraId="03BDDC38">
      <w:pPr>
        <w:widowControl/>
        <w:spacing w:line="560" w:lineRule="exact"/>
        <w:ind w:firstLine="641" w:firstLineChars="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正视崇阳县“八山半水分半田”的资源本底条件，以城市产业发展、人口增长、人居环境提升、民生设施建设项目、区域重大基础设施项目、主体功能区职能需求等因素提出合理增量规模。积极探索存量用地挖潜途径，提高集约节约水平。在城镇用地上，加快将老城区工业用地“退二进三”、城镇低效用地改造，积极引导建设项目利用低效、城镇闲散地。同时，积极推进农村国土综合整治以及城乡建设用地增减挂钩工作，对农村居民点、农村废弃地、工矿用地进行及时复垦、复绿或者复耕，不断提高土地利用质量和效益。</w:t>
      </w:r>
    </w:p>
    <w:p w14:paraId="0857B9DD">
      <w:pPr>
        <w:widowControl/>
        <w:spacing w:line="560" w:lineRule="exact"/>
        <w:ind w:firstLine="641" w:firstLineChars="0"/>
        <w:jc w:val="both"/>
        <w:rPr>
          <w:rFonts w:ascii="Times New Roman" w:hAnsi="Times New Roman" w:eastAsia="仿宋_GB2312"/>
          <w:sz w:val="28"/>
          <w:szCs w:val="28"/>
        </w:rPr>
      </w:pPr>
      <w:bookmarkStart w:id="206" w:name="_Toc138866687"/>
      <w:r>
        <w:rPr>
          <w:rFonts w:ascii="仿宋" w:hAnsi="仿宋" w:eastAsia="仿宋" w:cs="仿宋_GB2312"/>
          <w:kern w:val="0"/>
          <w:szCs w:val="32"/>
          <w:shd w:val="clear" w:color="auto" w:fill="FFFFFF"/>
        </w:rPr>
        <w:t>建设用地节约集约发展。城乡统筹，绿色崛起。推动沿河优化发展、山区生态发展，实现公共服务均等化的城乡等值化。协调区域生态空间，构筑结构清晰的景观安全格局，转变经济增长方式，推行绿色国内生产总值。一核引领，有机协作。强化中心城区核心引领功能，以中心城区为中心，统筹白霓镇、桂花泉镇、石城镇、青山镇、铜钟乡共同发展，打造相互支撑、错位互补、共同发展的城镇发展圈。极点带动，融入区域。通过崇阳县建设省级高新区的机遇，谋划高新产业的巨大突破，加快推动县域经济发展；谋划区域铁路建设，深度融入湘鄂赣合作区、武汉都市圈，开展区域有机协作。</w:t>
      </w:r>
    </w:p>
    <w:p w14:paraId="77CDA6FF">
      <w:pPr>
        <w:pStyle w:val="4"/>
        <w:ind w:firstLine="640"/>
      </w:pPr>
      <w:r>
        <w:rPr>
          <w:rFonts w:hint="eastAsia"/>
        </w:rPr>
        <w:t>动能转换战略</w:t>
      </w:r>
      <w:bookmarkEnd w:id="206"/>
    </w:p>
    <w:p w14:paraId="5A60FD8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大力实施产业倍增战略，整体提升支点的产业竞争力。以优势资源开发为依托，打造上下游产业链，使产业进一步升级。以绿色化引领农业发展，同时促进农业与工业、服务业的融合发展，构建农业生产、农产品加工、农产品销售流通、休闲观光农业融合发展的“大农业”产业体系。大力实施科创引领战略，整体提升支点的创新策源力，构建高效、清洁、低碳、循环的绿色制造产业体系，进一步做大做强深加工产业，形成原材料到深加工一体的生产体系。实现旅游服务水平明显提高，同时积极推动商贸物流、文化旅游、康体养生等现代服务产业的发展。推动百强县进位、千亿县扩容，大力发展镇域经济，推进乡村全面振兴。</w:t>
      </w:r>
    </w:p>
    <w:p w14:paraId="20F533D9">
      <w:pPr>
        <w:pStyle w:val="4"/>
        <w:ind w:firstLine="640"/>
      </w:pPr>
      <w:bookmarkStart w:id="207" w:name="_Toc138866688"/>
      <w:r>
        <w:rPr>
          <w:rFonts w:hint="eastAsia"/>
        </w:rPr>
        <w:t>品质魅力战略</w:t>
      </w:r>
      <w:bookmarkEnd w:id="207"/>
    </w:p>
    <w:p w14:paraId="2394063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大力实施文化创新战略，整体提升支点的文化影响力。延续历史文化，塑造蓝绿交织的生态自然公园城市。坚持公园城市理念指导城市规划建设管理，塑造以绿色为底色、以山水为景观、以绿道为脉络，以人文特质、以街区为基础的人城境业和谐统一的新型城市形态。</w:t>
      </w:r>
    </w:p>
    <w:p w14:paraId="49C7CB9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历史文化保护，构建“全时空、全要素、全方位”的历史文化保护体系；注重地域特色风貌塑造，彰显山水林城融为一体的城乡特色风貌，促进自然人文与多元业态混合，彰显国土空间魅力。积极探索“文旅+”的产业发展道路，不断挖掘文化旅游新资源，拓展文化旅游新内涵，全面推进“+文旅”的产业深度融合。</w:t>
      </w:r>
    </w:p>
    <w:p w14:paraId="3791993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通过以人立城、以文润城、以形筑城、以绿韵城、以业兴城，围绕“人”、“城”、“境”、“业”四大要素，建立绿道体系、公园体系、绿色产业体系、景观体系，建设武汉都市圈自然生态公园城市样板区。</w:t>
      </w:r>
    </w:p>
    <w:p w14:paraId="546ED5F2">
      <w:pPr>
        <w:shd w:val="clear" w:color="auto" w:fill="FFFFFF"/>
        <w:spacing w:line="560" w:lineRule="atLeast"/>
        <w:ind w:firstLine="560"/>
        <w:rPr>
          <w:rFonts w:ascii="Times New Roman" w:hAnsi="Times New Roman" w:eastAsia="仿宋_GB2312"/>
          <w:sz w:val="28"/>
          <w:szCs w:val="28"/>
        </w:rPr>
        <w:sectPr>
          <w:headerReference r:id="rId10" w:type="default"/>
          <w:footerReference r:id="rId11" w:type="default"/>
          <w:pgSz w:w="11906" w:h="16838"/>
          <w:pgMar w:top="1440" w:right="1800" w:bottom="1440" w:left="1800" w:header="851" w:footer="992" w:gutter="0"/>
          <w:cols w:space="720" w:num="1"/>
          <w:docGrid w:type="lines" w:linePitch="312" w:charSpace="0"/>
        </w:sectPr>
      </w:pPr>
    </w:p>
    <w:p w14:paraId="780F2BC2">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bookmarkStart w:id="208" w:name="_Toc16918"/>
      <w:bookmarkStart w:id="209" w:name="_Toc12594"/>
      <w:bookmarkStart w:id="210" w:name="_Toc1898"/>
      <w:bookmarkStart w:id="211" w:name="_Toc23902"/>
      <w:bookmarkStart w:id="212" w:name="_Toc26295"/>
      <w:bookmarkStart w:id="213" w:name="_Toc12684"/>
      <w:bookmarkStart w:id="214" w:name="_Toc18166"/>
      <w:bookmarkStart w:id="215" w:name="_Toc20158"/>
      <w:bookmarkStart w:id="216" w:name="_Toc24604"/>
      <w:bookmarkStart w:id="217" w:name="_Toc19024"/>
      <w:bookmarkStart w:id="218" w:name="_Toc29409"/>
      <w:bookmarkStart w:id="219" w:name="_Toc14003"/>
      <w:bookmarkStart w:id="220" w:name="_Toc25477"/>
      <w:bookmarkStart w:id="221" w:name="_Toc23489"/>
      <w:bookmarkStart w:id="222" w:name="_Toc138866956"/>
      <w:bookmarkStart w:id="223" w:name="_Toc138866689"/>
      <w:bookmarkStart w:id="224" w:name="_Toc23384"/>
      <w:bookmarkStart w:id="225" w:name="_Toc26110"/>
      <w:bookmarkStart w:id="226" w:name="_Toc31613"/>
      <w:bookmarkStart w:id="227" w:name="_Toc12707"/>
      <w:bookmarkStart w:id="228" w:name="_Toc11407"/>
      <w:bookmarkStart w:id="229" w:name="_Toc2880"/>
      <w:bookmarkStart w:id="230" w:name="_Toc15703"/>
      <w:bookmarkStart w:id="231" w:name="_Toc279"/>
      <w:bookmarkStart w:id="232" w:name="_Toc18523"/>
      <w:r>
        <w:rPr>
          <w:rFonts w:hint="eastAsia" w:ascii="黑体" w:hAnsi="黑体" w:eastAsia="黑体" w:cs="方正小标宋_GBK"/>
          <w:bCs w:val="0"/>
          <w:szCs w:val="36"/>
        </w:rPr>
        <w:t>第三章 国土空间开发保护格局</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79BDE4F6">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233" w:name="_Toc16076"/>
      <w:bookmarkStart w:id="234" w:name="_Toc775"/>
      <w:bookmarkStart w:id="235" w:name="_Toc20936"/>
      <w:bookmarkStart w:id="236" w:name="_Toc9265"/>
      <w:bookmarkStart w:id="237" w:name="_Toc8284"/>
      <w:bookmarkStart w:id="238" w:name="_Toc25870"/>
      <w:bookmarkStart w:id="239" w:name="_Toc9712"/>
      <w:bookmarkStart w:id="240" w:name="_Toc22141"/>
      <w:bookmarkStart w:id="241" w:name="_Toc28045"/>
      <w:bookmarkStart w:id="242" w:name="_Toc773"/>
      <w:bookmarkStart w:id="243" w:name="_Toc20298"/>
      <w:bookmarkStart w:id="244" w:name="_Toc7870"/>
      <w:bookmarkStart w:id="245" w:name="_Toc5745"/>
      <w:bookmarkStart w:id="246" w:name="_Toc138866957"/>
      <w:bookmarkStart w:id="247" w:name="_Toc25459"/>
      <w:bookmarkStart w:id="248" w:name="_Toc14488"/>
      <w:bookmarkStart w:id="249" w:name="_Toc26058"/>
      <w:bookmarkStart w:id="250" w:name="_Toc14485"/>
      <w:bookmarkStart w:id="251" w:name="_Toc10818"/>
      <w:bookmarkStart w:id="252" w:name="_Toc138866690"/>
      <w:bookmarkStart w:id="253" w:name="_Toc20063"/>
      <w:bookmarkStart w:id="254" w:name="_Toc8280"/>
      <w:bookmarkStart w:id="255" w:name="_Toc2812"/>
      <w:bookmarkStart w:id="256" w:name="_Toc3469"/>
      <w:bookmarkStart w:id="257" w:name="_Toc3209"/>
      <w:r>
        <w:rPr>
          <w:rFonts w:hint="eastAsia" w:ascii="黑体" w:hAnsi="黑体" w:cs="黑体"/>
          <w:bCs w:val="0"/>
        </w:rPr>
        <w:t>第一节 三条控制线划定与管控</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0F9F1AB2">
      <w:pPr>
        <w:pStyle w:val="4"/>
        <w:ind w:firstLine="640"/>
      </w:pPr>
      <w:bookmarkStart w:id="258" w:name="_Toc2755"/>
      <w:bookmarkStart w:id="259" w:name="_Toc13492"/>
      <w:bookmarkStart w:id="260" w:name="_Toc475"/>
      <w:bookmarkStart w:id="261" w:name="_Toc6078"/>
      <w:bookmarkStart w:id="262" w:name="_Toc11989"/>
      <w:bookmarkStart w:id="263" w:name="_Toc21608"/>
      <w:bookmarkStart w:id="264" w:name="_Toc28169"/>
      <w:bookmarkStart w:id="265" w:name="_Toc14417"/>
      <w:bookmarkStart w:id="266" w:name="_Toc138428834"/>
      <w:bookmarkStart w:id="267" w:name="_Toc22985"/>
      <w:bookmarkStart w:id="268" w:name="_Toc138866691"/>
      <w:bookmarkStart w:id="269" w:name="_Toc7850"/>
      <w:r>
        <w:rPr>
          <w:rFonts w:hint="eastAsia"/>
        </w:rPr>
        <w:t>三条控制线划定结果</w:t>
      </w:r>
      <w:bookmarkEnd w:id="258"/>
      <w:bookmarkEnd w:id="259"/>
      <w:bookmarkEnd w:id="260"/>
      <w:bookmarkEnd w:id="261"/>
      <w:bookmarkEnd w:id="262"/>
      <w:bookmarkEnd w:id="263"/>
      <w:bookmarkEnd w:id="264"/>
      <w:bookmarkEnd w:id="265"/>
      <w:bookmarkEnd w:id="266"/>
      <w:bookmarkEnd w:id="267"/>
      <w:bookmarkEnd w:id="268"/>
      <w:bookmarkEnd w:id="269"/>
    </w:p>
    <w:p w14:paraId="17EDAE08">
      <w:pPr>
        <w:widowControl/>
        <w:spacing w:line="560" w:lineRule="exact"/>
        <w:ind w:firstLine="640"/>
        <w:jc w:val="both"/>
        <w:rPr>
          <w:rFonts w:ascii="仿宋" w:hAnsi="仿宋" w:eastAsia="仿宋" w:cs="仿宋_GB2312"/>
          <w:kern w:val="0"/>
          <w:szCs w:val="32"/>
          <w:u w:val="none"/>
          <w:shd w:val="clear" w:color="auto" w:fill="FFFFFF"/>
        </w:rPr>
      </w:pPr>
      <w:bookmarkStart w:id="270" w:name="OLE_LINK2"/>
      <w:bookmarkStart w:id="271" w:name="OLE_LINK3"/>
      <w:r>
        <w:rPr>
          <w:rFonts w:ascii="仿宋" w:hAnsi="仿宋" w:eastAsia="仿宋" w:cs="仿宋_GB2312"/>
          <w:kern w:val="0"/>
          <w:szCs w:val="32"/>
          <w:u w:val="none"/>
          <w:shd w:val="clear" w:color="auto" w:fill="FFFFFF"/>
        </w:rPr>
        <w:t>耕地和永久基本农田保护红线。崇阳县划定耕地保护目标不低于</w:t>
      </w:r>
      <w:r>
        <w:rPr>
          <w:rFonts w:ascii="Times New Roman" w:hAnsi="Times New Roman" w:eastAsia="仿宋"/>
          <w:kern w:val="0"/>
          <w:szCs w:val="32"/>
          <w:u w:val="none"/>
          <w:shd w:val="clear" w:color="auto" w:fill="FFFFFF"/>
        </w:rPr>
        <w:t>272</w:t>
      </w:r>
      <w:r>
        <w:rPr>
          <w:rFonts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62</w:t>
      </w:r>
      <w:r>
        <w:rPr>
          <w:rFonts w:ascii="仿宋" w:hAnsi="仿宋" w:eastAsia="仿宋" w:cs="仿宋_GB2312"/>
          <w:kern w:val="0"/>
          <w:szCs w:val="32"/>
          <w:u w:val="none"/>
          <w:shd w:val="clear" w:color="auto" w:fill="FFFFFF"/>
        </w:rPr>
        <w:t>平方千米（</w:t>
      </w:r>
      <w:r>
        <w:rPr>
          <w:rFonts w:ascii="Times New Roman" w:hAnsi="Times New Roman" w:eastAsia="仿宋"/>
          <w:kern w:val="0"/>
          <w:szCs w:val="32"/>
          <w:u w:val="none"/>
          <w:shd w:val="clear" w:color="auto" w:fill="FFFFFF"/>
        </w:rPr>
        <w:t>40</w:t>
      </w:r>
      <w:r>
        <w:rPr>
          <w:rFonts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89</w:t>
      </w:r>
      <w:r>
        <w:rPr>
          <w:rFonts w:ascii="仿宋" w:hAnsi="仿宋" w:eastAsia="仿宋" w:cs="仿宋_GB2312"/>
          <w:kern w:val="0"/>
          <w:szCs w:val="32"/>
          <w:u w:val="none"/>
          <w:shd w:val="clear" w:color="auto" w:fill="FFFFFF"/>
        </w:rPr>
        <w:t>万亩），确保至</w:t>
      </w:r>
      <w:r>
        <w:rPr>
          <w:rFonts w:ascii="Times New Roman" w:hAnsi="Times New Roman" w:eastAsia="仿宋"/>
          <w:kern w:val="0"/>
          <w:szCs w:val="32"/>
          <w:u w:val="none"/>
          <w:shd w:val="clear" w:color="auto" w:fill="FFFFFF"/>
        </w:rPr>
        <w:t>2035</w:t>
      </w:r>
      <w:r>
        <w:rPr>
          <w:rFonts w:ascii="仿宋" w:hAnsi="仿宋" w:eastAsia="仿宋" w:cs="仿宋_GB2312"/>
          <w:kern w:val="0"/>
          <w:szCs w:val="32"/>
          <w:u w:val="none"/>
          <w:shd w:val="clear" w:color="auto" w:fill="FFFFFF"/>
        </w:rPr>
        <w:t>年永久基本农田保护总量不低于</w:t>
      </w:r>
      <w:r>
        <w:rPr>
          <w:rFonts w:ascii="Times New Roman" w:hAnsi="Times New Roman" w:eastAsia="仿宋"/>
          <w:kern w:val="0"/>
          <w:szCs w:val="32"/>
          <w:u w:val="none"/>
          <w:shd w:val="clear" w:color="auto" w:fill="FFFFFF"/>
        </w:rPr>
        <w:t>247</w:t>
      </w:r>
      <w:r>
        <w:rPr>
          <w:rFonts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40</w:t>
      </w:r>
      <w:r>
        <w:rPr>
          <w:rFonts w:ascii="仿宋" w:hAnsi="仿宋" w:eastAsia="仿宋" w:cs="仿宋_GB2312"/>
          <w:kern w:val="0"/>
          <w:szCs w:val="32"/>
          <w:u w:val="none"/>
          <w:shd w:val="clear" w:color="auto" w:fill="FFFFFF"/>
        </w:rPr>
        <w:t>平方米（</w:t>
      </w:r>
      <w:r>
        <w:rPr>
          <w:rFonts w:ascii="Times New Roman" w:hAnsi="Times New Roman" w:eastAsia="仿宋"/>
          <w:kern w:val="0"/>
          <w:szCs w:val="32"/>
          <w:u w:val="none"/>
          <w:shd w:val="clear" w:color="auto" w:fill="FFFFFF"/>
        </w:rPr>
        <w:t>37</w:t>
      </w:r>
      <w:r>
        <w:rPr>
          <w:rFonts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11</w:t>
      </w:r>
      <w:r>
        <w:rPr>
          <w:rFonts w:ascii="仿宋" w:hAnsi="仿宋" w:eastAsia="仿宋" w:cs="仿宋_GB2312"/>
          <w:kern w:val="0"/>
          <w:szCs w:val="32"/>
          <w:u w:val="none"/>
          <w:shd w:val="clear" w:color="auto" w:fill="FFFFFF"/>
        </w:rPr>
        <w:t>万亩），主要集中布局在天城镇、白霓镇、青山镇、沙坪镇、路口镇等中部沿河平原区域。</w:t>
      </w:r>
    </w:p>
    <w:bookmarkEnd w:id="270"/>
    <w:bookmarkEnd w:id="271"/>
    <w:p w14:paraId="236D36F8">
      <w:pPr>
        <w:widowControl/>
        <w:spacing w:line="560" w:lineRule="exact"/>
        <w:ind w:firstLine="640"/>
        <w:jc w:val="both"/>
        <w:rPr>
          <w:rFonts w:ascii="仿宋" w:hAnsi="仿宋" w:eastAsia="仿宋" w:cs="仿宋_GB2312"/>
          <w:kern w:val="0"/>
          <w:szCs w:val="32"/>
          <w:shd w:val="clear" w:color="auto" w:fill="FFFFFF"/>
        </w:rPr>
      </w:pPr>
      <w:bookmarkStart w:id="272" w:name="OLE_LINK32"/>
      <w:r>
        <w:rPr>
          <w:rFonts w:ascii="仿宋" w:hAnsi="仿宋" w:eastAsia="仿宋" w:cs="仿宋_GB2312"/>
          <w:kern w:val="0"/>
          <w:szCs w:val="32"/>
          <w:u w:val="none"/>
          <w:shd w:val="clear" w:color="auto" w:fill="FFFFFF"/>
        </w:rPr>
        <w:t>生态保护红线。</w:t>
      </w:r>
      <w:r>
        <w:rPr>
          <w:rFonts w:hint="eastAsia" w:ascii="仿宋" w:hAnsi="仿宋" w:eastAsia="仿宋" w:cs="仿宋_GB2312"/>
          <w:kern w:val="0"/>
          <w:szCs w:val="32"/>
          <w:u w:val="none"/>
          <w:shd w:val="clear" w:color="auto" w:fill="FFFFFF"/>
        </w:rPr>
        <w:t>划定</w:t>
      </w:r>
      <w:r>
        <w:rPr>
          <w:rFonts w:ascii="仿宋" w:hAnsi="仿宋" w:eastAsia="仿宋" w:cs="仿宋_GB2312"/>
          <w:kern w:val="0"/>
          <w:szCs w:val="32"/>
          <w:u w:val="none"/>
          <w:shd w:val="clear" w:color="auto" w:fill="FFFFFF"/>
        </w:rPr>
        <w:t>县域</w:t>
      </w:r>
      <w:r>
        <w:rPr>
          <w:rFonts w:hint="eastAsia" w:ascii="仿宋" w:hAnsi="仿宋" w:eastAsia="仿宋" w:cs="仿宋_GB2312"/>
          <w:kern w:val="0"/>
          <w:szCs w:val="32"/>
          <w:u w:val="none"/>
          <w:shd w:val="clear" w:color="auto" w:fill="FFFFFF"/>
        </w:rPr>
        <w:t>自然保护地、饮用水水源地一级保护区、公益林以及其他具有重要生态功能的区域纳入生态保护红线</w:t>
      </w:r>
      <w:r>
        <w:rPr>
          <w:rFonts w:ascii="仿宋" w:hAnsi="仿宋" w:eastAsia="仿宋" w:cs="仿宋_GB2312"/>
          <w:kern w:val="0"/>
          <w:szCs w:val="32"/>
          <w:u w:val="none"/>
          <w:shd w:val="clear" w:color="auto" w:fill="FFFFFF"/>
        </w:rPr>
        <w:t>。划定</w:t>
      </w:r>
      <w:r>
        <w:rPr>
          <w:rFonts w:hint="eastAsia" w:ascii="仿宋" w:hAnsi="仿宋" w:eastAsia="仿宋" w:cs="仿宋_GB2312"/>
          <w:kern w:val="0"/>
          <w:szCs w:val="32"/>
          <w:u w:val="none"/>
          <w:shd w:val="clear" w:color="auto" w:fill="FFFFFF"/>
        </w:rPr>
        <w:t>生态保护红线面积</w:t>
      </w:r>
      <w:r>
        <w:rPr>
          <w:rFonts w:ascii="Times New Roman" w:hAnsi="Times New Roman" w:eastAsia="仿宋"/>
          <w:kern w:val="0"/>
          <w:szCs w:val="32"/>
          <w:u w:val="none"/>
          <w:shd w:val="clear" w:color="auto" w:fill="FFFFFF"/>
        </w:rPr>
        <w:t>667</w:t>
      </w:r>
      <w:r>
        <w:rPr>
          <w:rFonts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47</w:t>
      </w:r>
      <w:r>
        <w:rPr>
          <w:rFonts w:ascii="仿宋" w:hAnsi="仿宋" w:eastAsia="仿宋" w:cs="仿宋_GB2312"/>
          <w:kern w:val="0"/>
          <w:szCs w:val="32"/>
          <w:u w:val="none"/>
          <w:shd w:val="clear" w:color="auto" w:fill="FFFFFF"/>
        </w:rPr>
        <w:t>平方千米。</w:t>
      </w:r>
      <w:r>
        <w:rPr>
          <w:rFonts w:ascii="仿宋" w:hAnsi="仿宋" w:eastAsia="仿宋" w:cs="仿宋_GB2312"/>
          <w:kern w:val="0"/>
          <w:szCs w:val="32"/>
          <w:shd w:val="clear" w:color="auto" w:fill="FFFFFF"/>
        </w:rPr>
        <w:t>主要分布于县域西南部幕阜山区及东北部大幕山区域。</w:t>
      </w:r>
    </w:p>
    <w:bookmarkEnd w:id="272"/>
    <w:p w14:paraId="5682474B">
      <w:pPr>
        <w:widowControl/>
        <w:spacing w:line="560" w:lineRule="exact"/>
        <w:ind w:firstLine="640"/>
        <w:jc w:val="both"/>
        <w:rPr>
          <w:rFonts w:ascii="仿宋" w:hAnsi="仿宋" w:eastAsia="仿宋" w:cs="仿宋_GB2312"/>
          <w:kern w:val="0"/>
          <w:szCs w:val="32"/>
          <w:shd w:val="clear" w:color="auto" w:fill="FFFFFF"/>
        </w:rPr>
      </w:pPr>
      <w:bookmarkStart w:id="273" w:name="OLE_LINK33"/>
      <w:r>
        <w:rPr>
          <w:rFonts w:ascii="仿宋" w:hAnsi="仿宋" w:eastAsia="仿宋" w:cs="仿宋_GB2312"/>
          <w:kern w:val="0"/>
          <w:szCs w:val="32"/>
          <w:shd w:val="clear" w:color="auto" w:fill="FFFFFF"/>
        </w:rPr>
        <w:t>城镇开发边界。</w:t>
      </w:r>
      <w:r>
        <w:rPr>
          <w:rFonts w:hint="eastAsia" w:ascii="仿宋" w:hAnsi="仿宋" w:eastAsia="仿宋" w:cs="仿宋_GB2312"/>
          <w:kern w:val="0"/>
          <w:szCs w:val="32"/>
          <w:shd w:val="clear" w:color="auto" w:fill="FFFFFF"/>
        </w:rPr>
        <w:t>按照节约优先、保护优先、因地制宜。顺应城镇发展需要、上下联动等原则，</w:t>
      </w:r>
      <w:r>
        <w:rPr>
          <w:rFonts w:ascii="仿宋" w:hAnsi="仿宋" w:eastAsia="仿宋" w:cs="仿宋_GB2312"/>
          <w:kern w:val="0"/>
          <w:szCs w:val="32"/>
          <w:shd w:val="clear" w:color="auto" w:fill="FFFFFF"/>
        </w:rPr>
        <w:t>在优先划定耕地和永久基本农田、生态保护红线的基础上，</w:t>
      </w:r>
      <w:r>
        <w:rPr>
          <w:rFonts w:ascii="仿宋" w:hAnsi="仿宋" w:eastAsia="仿宋" w:cs="仿宋_GB2312"/>
          <w:kern w:val="0"/>
          <w:szCs w:val="32"/>
          <w:u w:val="none"/>
          <w:shd w:val="clear" w:color="auto" w:fill="FFFFFF"/>
        </w:rPr>
        <w:t>全县城镇开发边界扩展倍数控制在</w:t>
      </w:r>
      <w:r>
        <w:rPr>
          <w:rFonts w:ascii="Times New Roman" w:hAnsi="Times New Roman" w:eastAsia="仿宋"/>
          <w:kern w:val="0"/>
          <w:szCs w:val="32"/>
          <w:u w:val="none"/>
          <w:shd w:val="clear" w:color="auto" w:fill="FFFFFF"/>
        </w:rPr>
        <w:t>1</w:t>
      </w:r>
      <w:r>
        <w:rPr>
          <w:rFonts w:hint="eastAsia"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28</w:t>
      </w:r>
      <w:r>
        <w:rPr>
          <w:rFonts w:hint="eastAsia" w:ascii="仿宋" w:hAnsi="仿宋" w:eastAsia="仿宋" w:cs="仿宋_GB2312"/>
          <w:kern w:val="0"/>
          <w:szCs w:val="32"/>
          <w:u w:val="none"/>
          <w:shd w:val="clear" w:color="auto" w:fill="FFFFFF"/>
        </w:rPr>
        <w:t>。</w:t>
      </w:r>
      <w:r>
        <w:rPr>
          <w:rFonts w:ascii="仿宋" w:hAnsi="仿宋" w:eastAsia="仿宋" w:cs="仿宋_GB2312"/>
          <w:kern w:val="0"/>
          <w:szCs w:val="32"/>
          <w:u w:val="none"/>
          <w:shd w:val="clear" w:color="auto" w:fill="FFFFFF"/>
        </w:rPr>
        <w:t>主要集中布局在中心城区及各乡镇中心区域。</w:t>
      </w:r>
    </w:p>
    <w:bookmarkEnd w:id="273"/>
    <w:p w14:paraId="2D0A21BE">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br w:type="page"/>
      </w:r>
    </w:p>
    <w:p w14:paraId="728EA20D">
      <w:pPr>
        <w:pStyle w:val="4"/>
        <w:ind w:firstLine="640"/>
      </w:pPr>
      <w:r>
        <w:rPr>
          <w:rFonts w:hint="eastAsia"/>
        </w:rPr>
        <w:t>洪涝风险控制线</w:t>
      </w:r>
    </w:p>
    <w:p w14:paraId="2AD40B77">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保障防洪排涝系统的完整性和通达性，为雨洪水蓄滞和行洪划定自然空间和重大调蓄设施用地，为具备雨水</w:t>
      </w:r>
      <w:r>
        <w:rPr>
          <w:rFonts w:ascii="仿宋" w:hAnsi="仿宋" w:eastAsia="仿宋" w:cs="仿宋_GB2312"/>
          <w:kern w:val="0"/>
          <w:szCs w:val="32"/>
          <w:u w:val="none"/>
          <w:shd w:val="clear" w:color="auto" w:fill="FFFFFF"/>
        </w:rPr>
        <w:t>排蓄</w:t>
      </w:r>
      <w:r>
        <w:rPr>
          <w:rFonts w:hint="eastAsia" w:ascii="仿宋" w:hAnsi="仿宋" w:eastAsia="仿宋" w:cs="仿宋_GB2312"/>
          <w:kern w:val="0"/>
          <w:szCs w:val="32"/>
          <w:u w:val="none"/>
          <w:shd w:val="clear" w:color="auto" w:fill="FFFFFF"/>
        </w:rPr>
        <w:t>功能的地下调蓄设施和隧道等预留空间，主要</w:t>
      </w:r>
      <w:r>
        <w:rPr>
          <w:rFonts w:ascii="仿宋" w:hAnsi="仿宋" w:eastAsia="仿宋" w:cs="仿宋_GB2312"/>
          <w:kern w:val="0"/>
          <w:szCs w:val="32"/>
          <w:u w:val="none"/>
          <w:shd w:val="clear" w:color="auto" w:fill="FFFFFF"/>
        </w:rPr>
        <w:t>将隽水河、青山河、高堤河等河流整体划行洪排涝通道，将青山水库等划为蓄洪水库。</w:t>
      </w:r>
    </w:p>
    <w:p w14:paraId="55C30CAA">
      <w:pPr>
        <w:widowControl/>
        <w:spacing w:line="560" w:lineRule="exact"/>
        <w:ind w:firstLine="640"/>
        <w:jc w:val="both"/>
        <w:rPr>
          <w:rFonts w:ascii="Times New Roman" w:hAnsi="Times New Roman" w:eastAsia="仿宋_GB2312"/>
          <w:sz w:val="28"/>
          <w:szCs w:val="28"/>
        </w:rPr>
      </w:pPr>
      <w:r>
        <w:rPr>
          <w:rFonts w:ascii="仿宋" w:hAnsi="仿宋" w:eastAsia="仿宋" w:cs="仿宋_GB2312"/>
          <w:kern w:val="0"/>
          <w:szCs w:val="32"/>
          <w:shd w:val="clear" w:color="auto" w:fill="FFFFFF"/>
        </w:rPr>
        <w:t>加强河湖管理，健全城市防洪管理体制。各河湖管理部门应在主管部门统一管理的前提下，密切配合，对主要河道进行疏浚、加固河流堤防；增加河道两侧绿化防护，减少水土流失；修缮水库溢洪道、溢洪闸，加固堤坝的防护；在水库周边通过绿化等方式，加强护坡。完善现有的防洪指挥系统、制定相应的防汛抢险应变措施、调配流量等方案，建立科学、先进、完善的雨情、水情预报警报和应急指挥系统。</w:t>
      </w:r>
    </w:p>
    <w:p w14:paraId="3F52701F">
      <w:pPr>
        <w:pStyle w:val="3"/>
        <w:keepNext w:val="0"/>
        <w:keepLines w:val="0"/>
        <w:widowControl/>
        <w:tabs>
          <w:tab w:val="left" w:leader="dot" w:pos="8295"/>
        </w:tabs>
        <w:autoSpaceDE w:val="0"/>
        <w:autoSpaceDN w:val="0"/>
        <w:spacing w:before="312" w:beforeLines="100" w:after="0" w:line="240" w:lineRule="auto"/>
        <w:rPr>
          <w:rFonts w:ascii="黑体" w:hAnsi="黑体" w:cs="黑体"/>
          <w:bCs w:val="0"/>
        </w:rPr>
      </w:pPr>
      <w:bookmarkStart w:id="274" w:name="_Toc12296"/>
      <w:bookmarkStart w:id="275" w:name="_Toc138428830"/>
      <w:bookmarkStart w:id="276" w:name="_Toc15232"/>
      <w:bookmarkStart w:id="277" w:name="_Toc16703"/>
      <w:bookmarkStart w:id="278" w:name="_Toc11340"/>
      <w:bookmarkStart w:id="279" w:name="_Toc20150"/>
      <w:bookmarkStart w:id="280" w:name="_Toc138866680"/>
      <w:bookmarkStart w:id="281" w:name="_Toc22038"/>
      <w:bookmarkStart w:id="282" w:name="_Toc28911"/>
      <w:bookmarkStart w:id="283" w:name="_Toc23830"/>
      <w:bookmarkStart w:id="284" w:name="_Toc17489"/>
      <w:bookmarkStart w:id="285" w:name="_Toc3657"/>
      <w:bookmarkStart w:id="286" w:name="_Toc26248"/>
      <w:bookmarkStart w:id="287" w:name="_Toc28711"/>
      <w:bookmarkStart w:id="288" w:name="_Toc3384"/>
      <w:bookmarkStart w:id="289" w:name="_Toc27823"/>
      <w:bookmarkStart w:id="290" w:name="_Toc138866959"/>
      <w:bookmarkStart w:id="291" w:name="_Toc16320"/>
      <w:bookmarkStart w:id="292" w:name="_Toc21829"/>
      <w:bookmarkStart w:id="293" w:name="_Toc27978"/>
      <w:bookmarkStart w:id="294" w:name="_Toc26127"/>
      <w:bookmarkStart w:id="295" w:name="_Toc31023"/>
      <w:bookmarkStart w:id="296" w:name="_Toc14783"/>
      <w:bookmarkStart w:id="297" w:name="_Toc32091"/>
      <w:bookmarkStart w:id="298" w:name="_Toc11829"/>
      <w:bookmarkStart w:id="299" w:name="_Toc14894"/>
      <w:bookmarkStart w:id="300" w:name="_Toc19316"/>
      <w:bookmarkStart w:id="301" w:name="_Toc138866703"/>
      <w:bookmarkStart w:id="302" w:name="_Toc18495"/>
      <w:bookmarkStart w:id="303" w:name="_Toc19056"/>
      <w:bookmarkStart w:id="304" w:name="_Toc25307"/>
      <w:bookmarkStart w:id="305" w:name="_Toc27609"/>
      <w:bookmarkStart w:id="306" w:name="_Toc1780"/>
      <w:bookmarkStart w:id="307" w:name="_Toc52"/>
      <w:r>
        <w:rPr>
          <w:rFonts w:hint="eastAsia" w:ascii="黑体" w:hAnsi="黑体" w:cs="黑体"/>
          <w:bCs w:val="0"/>
        </w:rPr>
        <w:t>第二节 主体功能定位</w:t>
      </w:r>
      <w:bookmarkEnd w:id="274"/>
      <w:bookmarkEnd w:id="275"/>
      <w:bookmarkEnd w:id="276"/>
      <w:bookmarkEnd w:id="277"/>
      <w:bookmarkEnd w:id="278"/>
      <w:bookmarkEnd w:id="279"/>
      <w:bookmarkEnd w:id="280"/>
      <w:bookmarkEnd w:id="281"/>
      <w:bookmarkEnd w:id="282"/>
      <w:bookmarkEnd w:id="283"/>
    </w:p>
    <w:p w14:paraId="538069D1">
      <w:pPr>
        <w:pStyle w:val="4"/>
        <w:ind w:firstLine="640"/>
      </w:pPr>
      <w:r>
        <w:rPr>
          <w:rFonts w:hint="eastAsia"/>
        </w:rPr>
        <w:t>主体功能区战略</w:t>
      </w:r>
    </w:p>
    <w:p w14:paraId="7C1FF496">
      <w:pPr>
        <w:widowControl/>
        <w:shd w:val="clear" w:color="auto" w:fill="FFFFFF"/>
        <w:spacing w:line="560" w:lineRule="exact"/>
        <w:ind w:firstLine="640"/>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崇阳县主体功能定位为农产品主产区。落实《咸宁市国土空间总体规划（</w:t>
      </w:r>
      <w:r>
        <w:rPr>
          <w:rFonts w:ascii="Times New Roman" w:hAnsi="Times New Roman" w:eastAsia="仿宋"/>
          <w:kern w:val="0"/>
          <w:szCs w:val="32"/>
          <w:shd w:val="clear" w:color="auto" w:fill="FFFFFF"/>
        </w:rPr>
        <w:t>2021—2035</w:t>
      </w:r>
      <w:r>
        <w:rPr>
          <w:rFonts w:ascii="仿宋" w:hAnsi="仿宋" w:eastAsia="仿宋" w:cs="仿宋_GB2312"/>
          <w:kern w:val="0"/>
          <w:szCs w:val="32"/>
          <w:shd w:val="clear" w:color="auto" w:fill="FFFFFF"/>
        </w:rPr>
        <w:t>年）》中关于崇阳县各乡镇主体功能区的细化结果。</w:t>
      </w:r>
    </w:p>
    <w:p w14:paraId="1A3935DA">
      <w:pPr>
        <w:widowControl/>
        <w:shd w:val="clear" w:color="auto" w:fill="FFFFFF"/>
        <w:spacing w:line="560" w:lineRule="exact"/>
        <w:ind w:firstLine="640"/>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重点生态功能区：划定金塘镇为重点生态功能区。重点生态功能区提高生态产品供给能力，确保生态安全，保障生态空间规模质量、价值。</w:t>
      </w:r>
    </w:p>
    <w:p w14:paraId="5BDB2435">
      <w:pPr>
        <w:widowControl/>
        <w:shd w:val="clear" w:color="auto" w:fill="FFFFFF"/>
        <w:spacing w:line="560" w:lineRule="exact"/>
        <w:ind w:firstLine="640"/>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农产品主产区：划定石城镇、沙坪镇、桂花泉镇、路口镇、青山镇、港口乡、高枧乡、铜钟乡为农产品主产区。农产品主产区应着力保护耕地，稳定粮食生产，增强农业综合生产能力，发展现代农业，增加农民收入，加快建设社会主义新农村，保障农产品供应，确保国家粮食安全和食物安全。</w:t>
      </w:r>
    </w:p>
    <w:p w14:paraId="44269577">
      <w:pPr>
        <w:widowControl/>
        <w:shd w:val="clear" w:color="auto" w:fill="FFFFFF"/>
        <w:spacing w:line="560" w:lineRule="exact"/>
        <w:ind w:firstLine="640"/>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城市化地区：天城镇、白霓镇、肖岭乡为城市化地区。城市化发展区结合资源环境承载能力合理控制开发强度，完善配套政策引导人口、产业集聚，提高土地利用效率，提升城镇服务功能和创新能力。</w:t>
      </w:r>
    </w:p>
    <w:p w14:paraId="2C77F4D3">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308" w:name="_Toc816"/>
      <w:r>
        <w:rPr>
          <w:rFonts w:hint="eastAsia" w:ascii="黑体" w:hAnsi="黑体" w:cs="黑体"/>
          <w:bCs w:val="0"/>
        </w:rPr>
        <w:t>第三节 构建国土空间融合发展格局</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5DF24166">
      <w:pPr>
        <w:pStyle w:val="4"/>
        <w:ind w:firstLine="640"/>
      </w:pPr>
      <w:bookmarkStart w:id="309" w:name="_Toc138866704"/>
      <w:bookmarkStart w:id="310" w:name="_Toc4329"/>
      <w:bookmarkStart w:id="311" w:name="_Toc9015"/>
      <w:bookmarkStart w:id="312" w:name="_Toc15276"/>
      <w:bookmarkStart w:id="313" w:name="_Toc1224"/>
      <w:bookmarkStart w:id="314" w:name="_Toc31811"/>
      <w:bookmarkStart w:id="315" w:name="_Toc4907"/>
      <w:bookmarkStart w:id="316" w:name="_Toc7623"/>
      <w:bookmarkStart w:id="317" w:name="_Toc11612"/>
      <w:bookmarkStart w:id="318" w:name="_Toc23780"/>
      <w:bookmarkStart w:id="319" w:name="_Toc138428847"/>
      <w:bookmarkStart w:id="320" w:name="_Toc11634"/>
      <w:r>
        <w:rPr>
          <w:rFonts w:hint="eastAsia"/>
        </w:rPr>
        <w:t>全力打造开发保护国土空间格局</w:t>
      </w:r>
      <w:bookmarkEnd w:id="309"/>
      <w:bookmarkEnd w:id="310"/>
      <w:bookmarkEnd w:id="311"/>
      <w:bookmarkEnd w:id="312"/>
      <w:bookmarkEnd w:id="313"/>
      <w:bookmarkEnd w:id="314"/>
      <w:bookmarkEnd w:id="315"/>
      <w:bookmarkEnd w:id="316"/>
      <w:bookmarkEnd w:id="317"/>
      <w:bookmarkEnd w:id="318"/>
      <w:bookmarkEnd w:id="319"/>
      <w:bookmarkEnd w:id="320"/>
    </w:p>
    <w:p w14:paraId="56A8A27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全面落实国省市区域协调发展、主体功能区等重大战略，围绕主体功能明显、优势互补、高水平保护和高质量发展要求，立足崇阳县资源禀赋和基础优势，尊重自然发展格局和社会经济发展规律，立足区域优势，构建“一心一轴两带，两屏三廊三区”的国土空间开发保护总体格局。</w:t>
      </w:r>
    </w:p>
    <w:p w14:paraId="0391546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一心”：以天城镇为核心，建设中心城区，作为县域城镇发展核心，凭借优势条件，优化城市功能结构，建设提升城东生态宜居片区、城南产城融合片区、城西高品质生活片区、城中综合服务片区内涵，成为全县高质量发展辐射中心和核心动力源。</w:t>
      </w:r>
    </w:p>
    <w:p w14:paraId="3D9F6C5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“一轴”：国道</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为城镇发展轴，串联白霓、沙坪、路口三大重镇沿线区域，形成“小城镇群”，推动县域经济高质量一体化发展。</w:t>
      </w:r>
    </w:p>
    <w:p w14:paraId="7EA74B9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“两带”即北部一二三产业融合绿色发展带；南部幕阜山绿色产业发展带。</w:t>
      </w:r>
    </w:p>
    <w:p w14:paraId="178316F3">
      <w:pPr>
        <w:widowControl/>
        <w:spacing w:line="560" w:lineRule="atLeas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“两屏”：即幕阜山生态屏障、大幕山生态屏障。强化两大生态屏障在水源涵养、水土保持、生物多样性保护和气候调节等方面的多重重要生态功能，维护长江中游地区生态安全。</w:t>
      </w:r>
    </w:p>
    <w:p w14:paraId="03DF4021">
      <w:pPr>
        <w:widowControl/>
        <w:spacing w:line="560" w:lineRule="atLeas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“三廊”：即隽水河、高堤河、青山河等三条主要生态廊道。</w:t>
      </w:r>
    </w:p>
    <w:p w14:paraId="2079EC14">
      <w:pPr>
        <w:widowControl/>
        <w:spacing w:line="560" w:lineRule="atLeas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“三区”：即乡村振兴示范区、现代农业示范区、乡村振兴一二三产融合示范区。以幕阜山旅游公路沿线</w:t>
      </w:r>
      <w:r>
        <w:rPr>
          <w:rFonts w:ascii="Times New Roman" w:hAnsi="Times New Roman" w:eastAsia="仿宋"/>
          <w:kern w:val="0"/>
          <w:szCs w:val="32"/>
          <w:shd w:val="clear" w:color="auto" w:fill="FFFFFF"/>
        </w:rPr>
        <w:t>6</w:t>
      </w:r>
      <w:r>
        <w:rPr>
          <w:rFonts w:ascii="仿宋" w:hAnsi="仿宋" w:eastAsia="仿宋" w:cs="仿宋_GB2312"/>
          <w:kern w:val="0"/>
          <w:szCs w:val="32"/>
          <w:shd w:val="clear" w:color="auto" w:fill="FFFFFF"/>
        </w:rPr>
        <w:t>个乡镇为重点，重点发展特色农产品产业，积极培育度假、休闲、观光、体验等多元的农旅产业打造乡村振兴示范区；沿国道</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沿线农业平原基础耕地资源区域建设现代农业示范区；打造乡村振兴一二三产融合发展区。</w:t>
      </w:r>
    </w:p>
    <w:p w14:paraId="2313AA7F">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321" w:name="_Toc8602"/>
      <w:bookmarkStart w:id="322" w:name="_Toc399"/>
      <w:bookmarkStart w:id="323" w:name="_Toc6281"/>
      <w:bookmarkStart w:id="324" w:name="_Toc1660"/>
      <w:bookmarkStart w:id="325" w:name="_Toc29964"/>
      <w:bookmarkStart w:id="326" w:name="_Toc22998"/>
      <w:bookmarkStart w:id="327" w:name="_Toc6816"/>
      <w:bookmarkStart w:id="328" w:name="_Toc5977"/>
      <w:bookmarkStart w:id="329" w:name="_Toc2785"/>
      <w:bookmarkStart w:id="330" w:name="_Toc24507"/>
      <w:bookmarkStart w:id="331" w:name="_Toc13577"/>
      <w:bookmarkStart w:id="332" w:name="_Toc138866705"/>
      <w:bookmarkStart w:id="333" w:name="_Toc6356"/>
      <w:bookmarkStart w:id="334" w:name="_Toc138866960"/>
      <w:bookmarkStart w:id="335" w:name="_Toc8969"/>
      <w:bookmarkStart w:id="336" w:name="_Toc8043"/>
      <w:bookmarkStart w:id="337" w:name="_Toc19430"/>
      <w:bookmarkStart w:id="338" w:name="_Toc584"/>
      <w:bookmarkStart w:id="339" w:name="_Toc10780"/>
      <w:bookmarkStart w:id="340" w:name="_Toc29120"/>
      <w:bookmarkStart w:id="341" w:name="_Toc18511"/>
      <w:bookmarkStart w:id="342" w:name="_Toc29458"/>
      <w:bookmarkStart w:id="343" w:name="_Toc27028"/>
      <w:bookmarkStart w:id="344" w:name="_Toc19276"/>
      <w:bookmarkStart w:id="345" w:name="_Toc19675"/>
      <w:r>
        <w:rPr>
          <w:rFonts w:hint="eastAsia" w:ascii="黑体" w:hAnsi="黑体" w:cs="黑体"/>
          <w:bCs w:val="0"/>
        </w:rPr>
        <w:t>第四节 国土空间规划分区</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0A983ED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基于主体功能定位和三条控制线划定成果，综合考虑生态环境、耕地保护、人口经济、产业布局，土地利用和城乡发展的要求，县域范围内划分为生态保护区、生态控制区、农田保护区、城镇发展区、乡村发展区五类一级。明确各分区的核心管控目标、政策导向与管制规则。针对不同分区对应的国土空间规划用途设立对应的管理规定，实现国土空间规划政策的有效传导与差异化管理。</w:t>
      </w:r>
    </w:p>
    <w:p w14:paraId="07E1CCD4">
      <w:pPr>
        <w:pStyle w:val="4"/>
        <w:ind w:firstLine="640"/>
      </w:pPr>
      <w:bookmarkStart w:id="346" w:name="_Toc30922"/>
      <w:bookmarkStart w:id="347" w:name="_Toc24919"/>
      <w:bookmarkStart w:id="348" w:name="_Toc21299"/>
      <w:bookmarkStart w:id="349" w:name="_Toc138866706"/>
      <w:bookmarkStart w:id="350" w:name="_Toc3678"/>
      <w:bookmarkStart w:id="351" w:name="_Toc11688"/>
      <w:bookmarkStart w:id="352" w:name="_Toc11489"/>
      <w:bookmarkStart w:id="353" w:name="_Toc138428850"/>
      <w:bookmarkStart w:id="354" w:name="_Toc13764"/>
      <w:bookmarkStart w:id="355" w:name="_Toc16091"/>
      <w:bookmarkStart w:id="356" w:name="_Toc23128"/>
      <w:bookmarkStart w:id="357" w:name="_Toc26857"/>
      <w:r>
        <w:rPr>
          <w:rFonts w:hint="eastAsia"/>
        </w:rPr>
        <w:t>农田保护区</w:t>
      </w:r>
    </w:p>
    <w:p w14:paraId="17ACF0F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农田保护区是永久基本农田集中保护区域。为了维护国家粮食安全，切实保护耕地，促进农业生产和社会经济的可持续发展。</w:t>
      </w:r>
    </w:p>
    <w:p w14:paraId="006CE02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农田保护区按照一定时期人口和经济社会发展对农产品的需求，依法确定不得擅自占用或改变用途、实施特殊保护的耕地集中区域，即永久基本农田。区内严格遵循永久基本农田相关保护要求，鼓励开展永久基本农田集中连片整治，通过土地开发整理复垦和高标准农田建设等，促进零星分散的永久基本农田集中连片。</w:t>
      </w:r>
    </w:p>
    <w:p w14:paraId="082D53D3">
      <w:pPr>
        <w:pStyle w:val="4"/>
        <w:ind w:firstLine="640"/>
      </w:pPr>
      <w:r>
        <w:rPr>
          <w:rFonts w:hint="eastAsia"/>
        </w:rPr>
        <w:t>生态保护区</w:t>
      </w:r>
      <w:bookmarkEnd w:id="346"/>
      <w:bookmarkEnd w:id="347"/>
      <w:bookmarkEnd w:id="348"/>
      <w:bookmarkEnd w:id="349"/>
      <w:bookmarkEnd w:id="350"/>
      <w:bookmarkEnd w:id="351"/>
      <w:bookmarkEnd w:id="352"/>
      <w:bookmarkEnd w:id="353"/>
      <w:bookmarkEnd w:id="354"/>
      <w:bookmarkEnd w:id="355"/>
      <w:bookmarkEnd w:id="356"/>
      <w:bookmarkEnd w:id="357"/>
    </w:p>
    <w:p w14:paraId="03654A1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生态保护区是具有特殊重要生态功能或生态敏感脆弱、必须强制性严格保护的区域，原则上与生态保护红线范围一致。落实生态保护红线，筑牢生态屏障。</w:t>
      </w:r>
    </w:p>
    <w:p w14:paraId="34FBE7B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生态保护区应依据国家、湖北省制定的具体监管办法进行监督管理。生态保护区内自然保护地核心区原则上禁止人为活动，其他区域严格禁止开发性、生产性建设活动，在符合现行法律法规前提下，除国家重大战略项目外，仅允许对生态功能不造成破坏的有限人为活动，主要包括：零星的原住民在不扩大现有建设用地和耕地规模前提下，修缮生产生活设施，保留生活必需的少量种植、放牧、捕捞、养殖；因国家重大能源资源安全需要开展的战略性能源资源勘察，公益性自然资源调查和地质勘查；自然资源、生态环境监测和执法包括水文水资源监测及涉水违法事件的查处等，灾害防治和应急抢险活动；经依法批准进行的非破坏性科学研究观测、标本采集；经依法批准的考古调查发掘和文物保护活动；不破坏生态功能的适度参观旅游和相关的必要公共设施建设；必须且无法避让、符合县级以上国土空间规划的线性基础设施建设、防洪和供水设施建设与运行维护；重要生态修复工程。</w:t>
      </w:r>
    </w:p>
    <w:p w14:paraId="2F9E1AF7">
      <w:pPr>
        <w:pStyle w:val="4"/>
        <w:ind w:firstLine="640"/>
      </w:pPr>
      <w:bookmarkStart w:id="358" w:name="_Toc10666"/>
      <w:bookmarkStart w:id="359" w:name="_Toc20587"/>
      <w:bookmarkStart w:id="360" w:name="_Toc13042"/>
      <w:bookmarkStart w:id="361" w:name="_Toc11711"/>
      <w:bookmarkStart w:id="362" w:name="_Toc29802"/>
      <w:bookmarkStart w:id="363" w:name="_Toc18945"/>
      <w:bookmarkStart w:id="364" w:name="_Toc3163"/>
      <w:bookmarkStart w:id="365" w:name="_Toc138428851"/>
      <w:bookmarkStart w:id="366" w:name="_Toc22655"/>
      <w:bookmarkStart w:id="367" w:name="_Toc138866707"/>
      <w:bookmarkStart w:id="368" w:name="_Toc14539"/>
      <w:bookmarkStart w:id="369" w:name="_Toc32396"/>
      <w:r>
        <w:rPr>
          <w:rFonts w:hint="eastAsia"/>
        </w:rPr>
        <w:t>生态控制区</w:t>
      </w:r>
      <w:bookmarkEnd w:id="358"/>
      <w:bookmarkEnd w:id="359"/>
      <w:bookmarkEnd w:id="360"/>
      <w:bookmarkEnd w:id="361"/>
      <w:bookmarkEnd w:id="362"/>
      <w:bookmarkEnd w:id="363"/>
      <w:bookmarkEnd w:id="364"/>
      <w:bookmarkEnd w:id="365"/>
      <w:bookmarkEnd w:id="366"/>
      <w:bookmarkEnd w:id="367"/>
      <w:bookmarkEnd w:id="368"/>
      <w:bookmarkEnd w:id="369"/>
    </w:p>
    <w:p w14:paraId="19C4346F">
      <w:pPr>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生态控制区是在生态保护区之外，需要予以保留原貌、强化生态保育和生态建设、限制开发的自然区域。将生态保护区外，公益林、基本草原、重要水源地、生物栖息地、沙地、重要河流湖泊等重要生态功能区划入生态控制区。</w:t>
      </w:r>
    </w:p>
    <w:p w14:paraId="58D95556">
      <w:pPr>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生态控制区内禁止对生态环境产生重大影响的开发建设活动，经评价在对生态环境不产生破坏的前提下，可适度开展观光、旅游、科研、教育等活动。生态控制区内限制建设用地、耕地、其他农用地规模增长，主导用途类型以林地、草地、湿地、陆地水域、其他土地为主。</w:t>
      </w:r>
    </w:p>
    <w:p w14:paraId="0ECC419C">
      <w:pPr>
        <w:pStyle w:val="4"/>
        <w:ind w:firstLine="640"/>
      </w:pPr>
      <w:bookmarkStart w:id="370" w:name="_Toc138866710"/>
      <w:bookmarkStart w:id="371" w:name="_Toc18212"/>
      <w:bookmarkStart w:id="372" w:name="_Toc138428854"/>
      <w:bookmarkStart w:id="373" w:name="_Toc31402"/>
      <w:bookmarkStart w:id="374" w:name="_Toc90"/>
      <w:bookmarkStart w:id="375" w:name="_Toc5146"/>
      <w:bookmarkStart w:id="376" w:name="_Toc27142"/>
      <w:bookmarkStart w:id="377" w:name="_Toc25506"/>
      <w:bookmarkStart w:id="378" w:name="_Toc21249"/>
      <w:bookmarkStart w:id="379" w:name="_Toc12028"/>
      <w:bookmarkStart w:id="380" w:name="_Toc7364"/>
      <w:bookmarkStart w:id="381" w:name="_Toc590"/>
      <w:r>
        <w:rPr>
          <w:rFonts w:hint="eastAsia"/>
        </w:rPr>
        <w:t>乡村发展区</w:t>
      </w:r>
    </w:p>
    <w:p w14:paraId="0C174E8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乡村发展区是农田保护区以外，满足农林牧渔等农业发展、农民生产生活为主要功能的区域，是为实现乡村全面振兴而划定的农业生产、生活发展区域。</w:t>
      </w:r>
    </w:p>
    <w:p w14:paraId="3ECEFCA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乡村发展区内以促进农业和乡村特色产业发展、改善农民生产生活条件为导向，统筹协调村庄建设、生态保护，有效保障农业生产发展配套设施用地。耕地优先用于粮食和棉、油、糖、菜等农产品生产，鼓励通过建设用地复垦、宜耕后备资源开发、农用地整理和其他土地整治工程的实施，垦造耕地，提升耕地连片度，鼓励开展耕地质量提升、旱地改水田等项目，提升耕地质量，严格控制非农建设占用耕地和重要林地。乡村发展区按照“详细规划+规划许可”和“约束指标+分区准入”的方式进行管理，并参照二级规划分区的准入规则。</w:t>
      </w:r>
    </w:p>
    <w:p w14:paraId="7CFE6B6F">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村庄建设必须按照法定村庄规划实施乡村建设规划许可管理。区内允许农业和乡村特色产业发展及其配套设施建设，以及为改善农村人居环境而进行的村庄建设与整治；严禁集中连片的大规模城镇开发建设。在充分进行可行性、必要性研究的基础上，在不影响安全、不破坏功能的前提下，该分区允许建设区域性基础设施廊道，并应做好相应的补偿措施。</w:t>
      </w:r>
    </w:p>
    <w:p w14:paraId="5EBFF03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乡村发展区的主导用途类型以耕地、园地、农业设施建设用地、农村宅基地、农村社区服务设施用地为主。</w:t>
      </w:r>
    </w:p>
    <w:p w14:paraId="2C35C401">
      <w:pPr>
        <w:pStyle w:val="4"/>
        <w:ind w:firstLine="640"/>
      </w:pPr>
      <w:r>
        <w:rPr>
          <w:rFonts w:hint="eastAsia"/>
        </w:rPr>
        <w:t>城镇发展区</w:t>
      </w:r>
      <w:bookmarkEnd w:id="370"/>
      <w:bookmarkEnd w:id="371"/>
      <w:bookmarkEnd w:id="372"/>
      <w:bookmarkEnd w:id="373"/>
      <w:bookmarkEnd w:id="374"/>
      <w:bookmarkEnd w:id="375"/>
      <w:bookmarkEnd w:id="376"/>
      <w:bookmarkEnd w:id="377"/>
      <w:bookmarkEnd w:id="378"/>
      <w:bookmarkEnd w:id="379"/>
      <w:bookmarkEnd w:id="380"/>
      <w:bookmarkEnd w:id="381"/>
    </w:p>
    <w:p w14:paraId="3EB32251">
      <w:pPr>
        <w:widowControl/>
        <w:spacing w:line="560" w:lineRule="exact"/>
        <w:ind w:firstLine="640"/>
        <w:jc w:val="both"/>
        <w:rPr>
          <w:rFonts w:ascii="仿宋" w:hAnsi="仿宋" w:eastAsia="仿宋" w:cs="仿宋_GB2312"/>
          <w:kern w:val="0"/>
          <w:szCs w:val="32"/>
          <w:shd w:val="clear" w:color="auto" w:fill="FFFFFF"/>
        </w:rPr>
      </w:pPr>
      <w:bookmarkStart w:id="382" w:name="OLE_LINK68"/>
      <w:bookmarkStart w:id="383" w:name="OLE_LINK69"/>
      <w:r>
        <w:rPr>
          <w:rFonts w:ascii="仿宋" w:hAnsi="仿宋" w:eastAsia="仿宋" w:cs="仿宋_GB2312"/>
          <w:kern w:val="0"/>
          <w:szCs w:val="32"/>
          <w:shd w:val="clear" w:color="auto" w:fill="FFFFFF"/>
        </w:rPr>
        <w:t>城镇发展区是城镇集中开发建设用于满足城镇生产、生活需要的区域。</w:t>
      </w:r>
    </w:p>
    <w:bookmarkEnd w:id="382"/>
    <w:bookmarkEnd w:id="383"/>
    <w:p w14:paraId="6F70BD5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城镇发展区内采用“详细规划+规划许可”的方式进行管理，分区外原则上不得进行城镇集中建设，以防止城市蔓延、无序扩张和低效开发。</w:t>
      </w:r>
    </w:p>
    <w:p w14:paraId="2D315DD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城镇发展区的主导用途类型以居住用地、公共管理与公共服务用地、商业服务业用地、工矿用地、仓储用地、交通运输用地、公用设施用地、绿地与开敞空间用地为主。</w:t>
      </w:r>
    </w:p>
    <w:p w14:paraId="28B234A2">
      <w:pPr>
        <w:widowControl/>
        <w:shd w:val="clear" w:color="auto" w:fill="FFFFFF"/>
        <w:spacing w:line="560" w:lineRule="exact"/>
        <w:ind w:firstLine="640"/>
        <w:rPr>
          <w:rFonts w:ascii="仿宋" w:hAnsi="仿宋" w:eastAsia="仿宋" w:cs="仿宋_GB2312"/>
          <w:kern w:val="0"/>
          <w:szCs w:val="32"/>
          <w:shd w:val="clear" w:color="auto" w:fill="FFFFFF"/>
        </w:rPr>
      </w:pPr>
      <w:bookmarkStart w:id="384" w:name="_Toc23124"/>
      <w:bookmarkStart w:id="385" w:name="_Toc14062"/>
      <w:bookmarkStart w:id="386" w:name="_Toc12647"/>
      <w:bookmarkStart w:id="387" w:name="_Toc4766"/>
      <w:bookmarkStart w:id="388" w:name="_Toc138866713"/>
      <w:bookmarkStart w:id="389" w:name="_Toc4239"/>
      <w:bookmarkStart w:id="390" w:name="_Toc3449"/>
      <w:bookmarkStart w:id="391" w:name="_Toc17294"/>
      <w:bookmarkStart w:id="392" w:name="_Toc32319"/>
      <w:bookmarkStart w:id="393" w:name="_Toc32359"/>
      <w:bookmarkStart w:id="394" w:name="_Toc14868"/>
      <w:bookmarkStart w:id="395" w:name="_Toc29822"/>
      <w:bookmarkStart w:id="396" w:name="_Toc25473"/>
      <w:bookmarkStart w:id="397" w:name="_Toc4228"/>
      <w:bookmarkStart w:id="398" w:name="_Toc138866963"/>
      <w:bookmarkStart w:id="399" w:name="_Toc28567"/>
      <w:bookmarkStart w:id="400" w:name="_Toc28900"/>
      <w:bookmarkStart w:id="401" w:name="_Toc29666"/>
      <w:bookmarkStart w:id="402" w:name="_Toc17888"/>
      <w:bookmarkStart w:id="403" w:name="_Toc15557"/>
      <w:r>
        <w:rPr>
          <w:rFonts w:ascii="仿宋" w:hAnsi="仿宋" w:eastAsia="仿宋" w:cs="仿宋_GB2312"/>
          <w:kern w:val="0"/>
          <w:szCs w:val="32"/>
          <w:shd w:val="clear" w:color="auto" w:fill="FFFFFF"/>
        </w:rPr>
        <w:t>城镇发展区以城乡建设用地节约集约利用为原则，积极推动产业用地更新，优化城市空间结构，促进城镇低效用地再开发。强化亩均产出，提升发展质量，强化工业用地全生命周期管理，以亩均投资、税收、岗位数为核心的工业用地出让门槛，并纳入土地出让合同。结合地方实际需求，合理确定各类公共服务设施、市政基础设施的规模，避免无效消费。</w:t>
      </w:r>
    </w:p>
    <w:p w14:paraId="450ED90F">
      <w:pPr>
        <w:widowControl/>
        <w:shd w:val="clear" w:color="auto" w:fill="FFFFFF"/>
        <w:ind w:firstLine="56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br w:type="page"/>
      </w:r>
    </w:p>
    <w:p w14:paraId="2810E2AD">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404" w:name="_Toc23654"/>
      <w:bookmarkStart w:id="405" w:name="_Toc15254"/>
      <w:bookmarkStart w:id="406" w:name="_Toc7554"/>
      <w:bookmarkStart w:id="407" w:name="_Toc11227"/>
      <w:bookmarkStart w:id="408" w:name="_Toc7839"/>
      <w:r>
        <w:rPr>
          <w:rFonts w:hint="eastAsia" w:ascii="黑体" w:hAnsi="黑体" w:cs="黑体"/>
          <w:bCs w:val="0"/>
        </w:rPr>
        <w:t>第五节 优化国土空间功能结构</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14:paraId="26000AFA">
      <w:pPr>
        <w:pStyle w:val="4"/>
        <w:ind w:firstLine="640"/>
      </w:pPr>
      <w:bookmarkStart w:id="409" w:name="_Toc15073"/>
      <w:bookmarkStart w:id="410" w:name="_Toc19628"/>
      <w:bookmarkStart w:id="411" w:name="_Toc31102"/>
      <w:bookmarkStart w:id="412" w:name="_Toc8160"/>
      <w:bookmarkStart w:id="413" w:name="_Toc12546"/>
      <w:bookmarkStart w:id="414" w:name="_Toc138428857"/>
      <w:bookmarkStart w:id="415" w:name="_Toc138866714"/>
      <w:bookmarkStart w:id="416" w:name="_Toc15497"/>
      <w:bookmarkStart w:id="417" w:name="_Toc24159"/>
      <w:bookmarkStart w:id="418" w:name="_Toc29300"/>
      <w:bookmarkStart w:id="419" w:name="_Toc25237"/>
      <w:bookmarkStart w:id="420" w:name="_Toc20572"/>
      <w:r>
        <w:rPr>
          <w:rFonts w:hint="eastAsia"/>
        </w:rPr>
        <w:t>国土空间用途结构调整</w:t>
      </w:r>
      <w:bookmarkEnd w:id="409"/>
      <w:bookmarkEnd w:id="410"/>
      <w:bookmarkEnd w:id="411"/>
      <w:bookmarkEnd w:id="412"/>
      <w:bookmarkEnd w:id="413"/>
      <w:bookmarkEnd w:id="414"/>
      <w:bookmarkEnd w:id="415"/>
      <w:bookmarkEnd w:id="416"/>
      <w:bookmarkEnd w:id="417"/>
      <w:bookmarkEnd w:id="418"/>
      <w:bookmarkEnd w:id="419"/>
      <w:bookmarkEnd w:id="420"/>
    </w:p>
    <w:p w14:paraId="39A4774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全面提升国土空间治理体系和治理能力现代化水平，基本形成生产空间集约高效、生活空间宜居适度、生态空间山清水秀，安全和谐、富有竞争力和可持续发展的国土空间结构体系。</w:t>
      </w:r>
    </w:p>
    <w:p w14:paraId="4613827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优先保障农业用地尤其是耕地资源、满足生态用地需求、提升国土景观风貌、协调基础设施用地、优化城镇工矿用地为顺序统筹安排；严格控制各类建设占用生态和农业用地，鼓励向有利于生态功能提升的用途方向转变；明确提出各类用地结构优化的方案和要求，以及时序安排。</w:t>
      </w:r>
    </w:p>
    <w:p w14:paraId="038D1106">
      <w:pPr>
        <w:widowControl/>
        <w:ind w:firstLine="0" w:firstLineChars="0"/>
        <w:jc w:val="both"/>
        <w:rPr>
          <w:rFonts w:ascii="仿宋" w:hAnsi="仿宋" w:eastAsia="仿宋" w:cs="仿宋_GB2312"/>
          <w:kern w:val="0"/>
          <w:szCs w:val="32"/>
          <w:shd w:val="clear" w:color="auto" w:fill="FFFFFF"/>
        </w:rPr>
      </w:pPr>
      <w:bookmarkStart w:id="421" w:name="_Toc15987"/>
      <w:bookmarkStart w:id="422" w:name="_Toc19571"/>
      <w:bookmarkStart w:id="423" w:name="_Toc28592"/>
      <w:bookmarkStart w:id="424" w:name="_Toc25660"/>
      <w:bookmarkStart w:id="425" w:name="_Toc21120"/>
      <w:bookmarkStart w:id="426" w:name="_Toc7527"/>
      <w:bookmarkStart w:id="427" w:name="_Toc11131"/>
      <w:bookmarkStart w:id="428" w:name="_Toc138866733"/>
      <w:bookmarkStart w:id="429" w:name="_Toc14697"/>
      <w:bookmarkStart w:id="430" w:name="_Toc1912"/>
      <w:bookmarkStart w:id="431" w:name="_Toc21537"/>
      <w:bookmarkStart w:id="432" w:name="_Toc6453"/>
      <w:bookmarkStart w:id="433" w:name="_Toc5403"/>
      <w:bookmarkStart w:id="434" w:name="_Toc7003"/>
      <w:bookmarkStart w:id="435" w:name="_Toc22651"/>
      <w:bookmarkStart w:id="436" w:name="_Toc27640"/>
      <w:bookmarkStart w:id="437" w:name="_Toc20733"/>
      <w:bookmarkStart w:id="438" w:name="_Toc138866979"/>
      <w:bookmarkStart w:id="439" w:name="_Toc32250"/>
      <w:bookmarkStart w:id="440" w:name="_Toc6647"/>
      <w:bookmarkStart w:id="441" w:name="_Toc28771"/>
      <w:bookmarkStart w:id="442" w:name="_Toc32"/>
      <w:bookmarkStart w:id="443" w:name="_Toc8042"/>
    </w:p>
    <w:p w14:paraId="18BA8BCA">
      <w:pPr>
        <w:rPr>
          <w:rFonts w:hint="eastAsia" w:ascii="黑体" w:hAnsi="黑体" w:eastAsia="黑体" w:cs="方正小标宋_GBK"/>
          <w:bCs w:val="0"/>
          <w:szCs w:val="36"/>
        </w:rPr>
      </w:pPr>
      <w:bookmarkStart w:id="444" w:name="_Toc15648"/>
      <w:bookmarkStart w:id="445" w:name="_Toc8436"/>
      <w:r>
        <w:rPr>
          <w:rFonts w:hint="eastAsia" w:ascii="黑体" w:hAnsi="黑体" w:eastAsia="黑体" w:cs="方正小标宋_GBK"/>
          <w:bCs w:val="0"/>
          <w:szCs w:val="36"/>
        </w:rPr>
        <w:br w:type="page"/>
      </w:r>
    </w:p>
    <w:p w14:paraId="5F754A9E">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r>
        <w:rPr>
          <w:rFonts w:hint="eastAsia" w:ascii="黑体" w:hAnsi="黑体" w:eastAsia="黑体" w:cs="方正小标宋_GBK"/>
          <w:bCs w:val="0"/>
          <w:szCs w:val="36"/>
        </w:rPr>
        <w:t>第四章 保障农业空间促进乡村振兴</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4EF2A81A">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446" w:name="_Toc8608"/>
      <w:bookmarkStart w:id="447" w:name="_Toc14382"/>
      <w:bookmarkStart w:id="448" w:name="_Toc30037"/>
      <w:bookmarkStart w:id="449" w:name="_Toc236"/>
      <w:bookmarkStart w:id="450" w:name="_Toc21226"/>
      <w:bookmarkStart w:id="451" w:name="_Toc30172"/>
      <w:bookmarkStart w:id="452" w:name="_Toc22509"/>
      <w:bookmarkStart w:id="453" w:name="_Toc7756"/>
      <w:bookmarkStart w:id="454" w:name="_Toc1380"/>
      <w:bookmarkStart w:id="455" w:name="_Toc138866734"/>
      <w:bookmarkStart w:id="456" w:name="_Toc6964"/>
      <w:bookmarkStart w:id="457" w:name="_Toc138866980"/>
      <w:bookmarkStart w:id="458" w:name="_Toc14892"/>
      <w:bookmarkStart w:id="459" w:name="_Toc29648"/>
      <w:bookmarkStart w:id="460" w:name="_Toc16938"/>
      <w:bookmarkStart w:id="461" w:name="_Toc16378"/>
      <w:bookmarkStart w:id="462" w:name="_Toc25655"/>
      <w:bookmarkStart w:id="463" w:name="_Toc15997"/>
      <w:bookmarkStart w:id="464" w:name="_Toc2988"/>
      <w:bookmarkStart w:id="465" w:name="_Toc23310"/>
      <w:bookmarkStart w:id="466" w:name="_Toc21050"/>
      <w:bookmarkStart w:id="467" w:name="_Toc16438"/>
      <w:bookmarkStart w:id="468" w:name="_Toc15874"/>
      <w:bookmarkStart w:id="469" w:name="_Toc6505"/>
      <w:bookmarkStart w:id="470" w:name="_Toc2150"/>
      <w:bookmarkStart w:id="471" w:name="_Toc9864"/>
      <w:r>
        <w:rPr>
          <w:rFonts w:hint="eastAsia" w:ascii="黑体" w:hAnsi="黑体" w:cs="黑体"/>
          <w:bCs w:val="0"/>
        </w:rPr>
        <w:t xml:space="preserve">第一节 </w:t>
      </w:r>
      <w:bookmarkEnd w:id="446"/>
      <w:r>
        <w:rPr>
          <w:rFonts w:hint="eastAsia" w:ascii="黑体" w:hAnsi="黑体" w:cs="黑体"/>
          <w:bCs w:val="0"/>
        </w:rPr>
        <w:t>严守耕地红线保障粮食安全</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14:paraId="5075FCA4">
      <w:pPr>
        <w:pStyle w:val="4"/>
        <w:ind w:firstLine="640"/>
      </w:pPr>
      <w:r>
        <w:rPr>
          <w:rFonts w:hint="eastAsia"/>
        </w:rPr>
        <w:t>落实耕地用途管制</w:t>
      </w:r>
    </w:p>
    <w:p w14:paraId="0FECC6F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落实耕地“大占补”政策要求，实施占补平衡制度，非农建设占用耕地，严格落实“占一补一、先补后占、占优补优、占水田补水田”的耕地占补平衡制度，实行新增建设用地计划安排与土地节约集约利用水平、补充耕地能力挂钩。</w:t>
      </w:r>
    </w:p>
    <w:p w14:paraId="2974D822">
      <w:pPr>
        <w:widowControl/>
        <w:spacing w:line="560" w:lineRule="exact"/>
        <w:ind w:firstLine="640"/>
        <w:jc w:val="both"/>
        <w:rPr>
          <w:rFonts w:ascii="仿宋" w:hAnsi="仿宋" w:eastAsia="仿宋" w:cs="仿宋_GB2312"/>
          <w:kern w:val="0"/>
          <w:szCs w:val="32"/>
          <w:shd w:val="clear" w:color="auto" w:fill="FFFFFF"/>
        </w:rPr>
      </w:pPr>
      <w:bookmarkStart w:id="472" w:name="OLE_LINK54"/>
      <w:bookmarkStart w:id="473" w:name="OLE_LINK53"/>
      <w:r>
        <w:rPr>
          <w:rFonts w:ascii="仿宋" w:hAnsi="仿宋" w:eastAsia="仿宋" w:cs="仿宋_GB2312"/>
          <w:kern w:val="0"/>
          <w:szCs w:val="32"/>
          <w:shd w:val="clear" w:color="auto" w:fill="FFFFFF"/>
        </w:rPr>
        <w:t>非农建设应不占或少占耕地，确实难以避让占用耕地的，应按照“数量相等、质量相当、产能不降”的要求，坚持“以补定占”原则，以县域自行平衡为主、省域内调剂为辅为补充，落实补充耕地任务。购买的异地补充耕地指标，纳入耕地保护目标。严格管控耕地转为其他农用地，对于一般耕地转为林地、草地、园地等其他农用地以及农业设施建设用地，在不影响重点生态区域、生物多样性保护及生态建设成果前提下，通过用地整治为耕地等方式，补足同等数量、质量的可以长期稳定利用的耕地，尽量保持耕地、林地等地类稳定。</w:t>
      </w:r>
    </w:p>
    <w:bookmarkEnd w:id="472"/>
    <w:bookmarkEnd w:id="473"/>
    <w:p w14:paraId="4783B826">
      <w:pPr>
        <w:pStyle w:val="4"/>
        <w:ind w:firstLine="640"/>
      </w:pPr>
      <w:r>
        <w:rPr>
          <w:rFonts w:hint="eastAsia"/>
        </w:rPr>
        <w:t>加强耕地保护措施</w:t>
      </w:r>
    </w:p>
    <w:p w14:paraId="5E1F91D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严格落实上级分解下达的耕地保护任务，将耕地和永久基本农田保护目标带位置逐级下达，逐级签订耕地保护责任书，层层落实保护责任。耕地和永久基本农田保护落实情况，纳入地方党委和政府领导班子粮食安全和耕地保护考核，实行耕地保护“党政同责”、终身追责。</w:t>
      </w:r>
    </w:p>
    <w:p w14:paraId="398AA5A3">
      <w:pPr>
        <w:widowControl/>
        <w:spacing w:line="560" w:lineRule="exact"/>
        <w:ind w:firstLine="640"/>
        <w:jc w:val="both"/>
        <w:rPr>
          <w:rFonts w:ascii="仿宋" w:hAnsi="仿宋" w:eastAsia="仿宋" w:cs="仿宋_GB2312"/>
          <w:kern w:val="0"/>
          <w:szCs w:val="32"/>
          <w:shd w:val="clear" w:color="auto" w:fill="FFFFFF"/>
        </w:rPr>
      </w:pPr>
      <w:bookmarkStart w:id="474" w:name="OLE_LINK46"/>
      <w:bookmarkStart w:id="475" w:name="OLE_LINK47"/>
      <w:r>
        <w:rPr>
          <w:rFonts w:ascii="仿宋" w:hAnsi="仿宋" w:eastAsia="仿宋" w:cs="仿宋_GB2312"/>
          <w:kern w:val="0"/>
          <w:szCs w:val="32"/>
          <w:shd w:val="clear" w:color="auto" w:fill="FFFFFF"/>
        </w:rPr>
        <w:t>对耕地实行特殊保护，严守耕地保护红线，严格控制耕地转为林地、草地、园地等其他农用地，并建立耕地保护补偿制度，具体办法和耕地保护补充实施步骤由自然资源部会同有关部门规定。</w:t>
      </w:r>
    </w:p>
    <w:bookmarkEnd w:id="474"/>
    <w:bookmarkEnd w:id="475"/>
    <w:p w14:paraId="16EC099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统筹好耕地拓展和生态保护关系，在符合国土空间和生态环境保护要求的前提下，国土调查成果中各类非耕地地类，均可作为补充耕地来源。按照“恢复优质耕地为主，新开垦耕地为辅”的原则，优先将平原和低坡度耕地中流出的园地、林地、草地等其他农用地恢复为耕地，因地制宜推进低效闲置建设用地复垦复耕。按照科学合理、复合利用的原则，适度将河湖周边土地纳入耕地后备资源，但不得围湖造田。根据耕地保护责任缺口，结合自然地理条件、群众意愿等因素，稳妥有序推进耕地整治恢复。各类项目实施主体依法依规将非耕地垦造、恢复为稳定利用耕地的，均可作为补充耕地。</w:t>
      </w:r>
    </w:p>
    <w:p w14:paraId="0BCF32E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禁止任何单位和个人在国土空间规划确定的禁止开垦的范围内从事土地开发活动。</w:t>
      </w:r>
    </w:p>
    <w:p w14:paraId="49540E0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建立耕地评价体系和耕地预警监测系统。对耕地的质量、区位、环境进行综合评价，为土地合理利用、土地利用结构调整提供科学依据；</w:t>
      </w:r>
      <w:r>
        <w:rPr>
          <w:rFonts w:ascii="仿宋" w:hAnsi="仿宋" w:eastAsia="仿宋" w:cs="仿宋_GB2312"/>
          <w:kern w:val="0"/>
          <w:szCs w:val="32"/>
          <w:shd w:val="clear" w:color="auto" w:fill="FFFFFF"/>
          <w:lang w:bidi="ar"/>
        </w:rPr>
        <w:t>采用现代科技手段，对耕地实行跟踪管理，对耕地的数量、质量、环境变化进行动态监测。</w:t>
      </w:r>
    </w:p>
    <w:p w14:paraId="2F7DAE7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严格土地执法督察。建立县、乡、村巡查网络，加大</w:t>
      </w:r>
      <w:r>
        <w:rPr>
          <w:rFonts w:ascii="仿宋" w:hAnsi="仿宋" w:eastAsia="仿宋" w:cs="仿宋_GB2312"/>
          <w:kern w:val="0"/>
          <w:szCs w:val="32"/>
          <w:shd w:val="clear" w:color="auto" w:fill="FFFFFF"/>
          <w:lang w:bidi="ar"/>
        </w:rPr>
        <w:t>对违法占用耕地特别是永久基本农田等行为的查处力度，对违法占用和破坏耕地行为做到早发现、早处理。实行永久基本农田违法占用及查处专项报表、专题报告制度和基本农田保护年度报告制度。</w:t>
      </w:r>
    </w:p>
    <w:p w14:paraId="6B41F10D">
      <w:pPr>
        <w:pStyle w:val="4"/>
        <w:ind w:firstLine="640"/>
      </w:pPr>
      <w:r>
        <w:rPr>
          <w:rFonts w:hint="eastAsia"/>
        </w:rPr>
        <w:t>有序实施耕地恢复计划</w:t>
      </w:r>
    </w:p>
    <w:p w14:paraId="63469DB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有序实施耕地恢复。落实国家、省、市核定的耕地保护责任，有序推动恢复耕地变为稳定耕地，合理开发耕地后备资源，推进最严格的耕地保护制度和占补平衡政策实施。耕地恢复通过高标准农田建设、土地整治、城乡建设用地增减挂钩、历史遗留工矿废弃地复垦、旧村改造和“空心村”治理等方式，对县域各乡镇制订年度实施耕地补充计划，规划期优先将能与耕地集中连片的、具备水源和交通等耕作条件的地块开垦为耕地，鼓励根据实施耕地恢复任务完成情况，对乡镇实施奖励或处罚，确保按时序推进。</w:t>
      </w:r>
    </w:p>
    <w:p w14:paraId="39C281E4">
      <w:pPr>
        <w:widowControl/>
        <w:shd w:val="clear" w:color="auto" w:fill="FFFFFF"/>
        <w:spacing w:line="560" w:lineRule="exact"/>
        <w:ind w:firstLine="640"/>
        <w:rPr>
          <w:rFonts w:ascii="仿宋" w:hAnsi="仿宋" w:eastAsia="仿宋" w:cs="仿宋_GB2312"/>
          <w:kern w:val="0"/>
          <w:szCs w:val="32"/>
          <w:shd w:val="clear" w:color="auto" w:fill="FFFFFF"/>
        </w:rPr>
      </w:pPr>
      <w:bookmarkStart w:id="476" w:name="_Toc3773"/>
      <w:bookmarkStart w:id="477" w:name="_Toc29246"/>
      <w:bookmarkStart w:id="478" w:name="_Toc22106"/>
      <w:bookmarkStart w:id="479" w:name="_Toc9716"/>
      <w:bookmarkStart w:id="480" w:name="_Toc29466"/>
      <w:bookmarkStart w:id="481" w:name="_Toc7063"/>
      <w:bookmarkStart w:id="482" w:name="_Toc7977"/>
      <w:bookmarkStart w:id="483" w:name="_Toc138866738"/>
      <w:bookmarkStart w:id="484" w:name="_Toc8739"/>
      <w:bookmarkStart w:id="485" w:name="_Toc7627"/>
      <w:bookmarkStart w:id="486" w:name="_Toc20083"/>
      <w:bookmarkStart w:id="487" w:name="_Toc138428867"/>
      <w:r>
        <w:rPr>
          <w:rFonts w:ascii="仿宋" w:hAnsi="仿宋" w:eastAsia="仿宋" w:cs="仿宋_GB2312"/>
          <w:kern w:val="0"/>
          <w:szCs w:val="32"/>
          <w:shd w:val="clear" w:color="auto" w:fill="FFFFFF"/>
        </w:rPr>
        <w:t>加强耕地后备资源储备精准施策。全面摸清全域补充耕地潜力状况，综合考虑后备资源开发条件，以图斑为单元，调查评价可开垦和可复垦采矿用地的宜耕性，分析后备资源开发的经济、生态和社会效益，有序推动可恢复耕地变为稳定耕地，合理开发耕地后备资源，推进最严格的耕地保护制度和占补平衡政策实施。按照公共财政的要求，将项目资金纳入财政预算管理，确保项目资金规范使用。</w:t>
      </w:r>
    </w:p>
    <w:bookmarkEnd w:id="476"/>
    <w:bookmarkEnd w:id="477"/>
    <w:bookmarkEnd w:id="478"/>
    <w:bookmarkEnd w:id="479"/>
    <w:bookmarkEnd w:id="480"/>
    <w:bookmarkEnd w:id="481"/>
    <w:bookmarkEnd w:id="482"/>
    <w:bookmarkEnd w:id="483"/>
    <w:bookmarkEnd w:id="484"/>
    <w:bookmarkEnd w:id="485"/>
    <w:bookmarkEnd w:id="486"/>
    <w:bookmarkEnd w:id="487"/>
    <w:p w14:paraId="5326B871">
      <w:pPr>
        <w:pStyle w:val="4"/>
        <w:ind w:firstLine="640"/>
      </w:pPr>
      <w:bookmarkStart w:id="488" w:name="_Toc12167"/>
      <w:bookmarkStart w:id="489" w:name="_Toc21571"/>
      <w:bookmarkStart w:id="490" w:name="_Toc2220"/>
      <w:bookmarkStart w:id="491" w:name="_Toc29149"/>
      <w:bookmarkStart w:id="492" w:name="_Toc138428868"/>
      <w:bookmarkStart w:id="493" w:name="_Toc138866739"/>
      <w:bookmarkStart w:id="494" w:name="_Toc27224"/>
      <w:bookmarkStart w:id="495" w:name="_Toc7608"/>
      <w:bookmarkStart w:id="496" w:name="_Toc4246"/>
      <w:bookmarkStart w:id="497" w:name="_Toc31826"/>
      <w:bookmarkStart w:id="498" w:name="_Toc6649"/>
      <w:bookmarkStart w:id="499" w:name="_Toc15991"/>
      <w:r>
        <w:rPr>
          <w:rFonts w:hint="eastAsia"/>
        </w:rPr>
        <w:t>提升农业基础设施</w:t>
      </w:r>
      <w:bookmarkEnd w:id="488"/>
      <w:bookmarkEnd w:id="489"/>
      <w:bookmarkEnd w:id="490"/>
      <w:bookmarkEnd w:id="491"/>
      <w:bookmarkEnd w:id="492"/>
      <w:bookmarkEnd w:id="493"/>
      <w:bookmarkEnd w:id="494"/>
      <w:bookmarkEnd w:id="495"/>
      <w:bookmarkEnd w:id="496"/>
      <w:bookmarkEnd w:id="497"/>
      <w:bookmarkEnd w:id="498"/>
      <w:bookmarkEnd w:id="499"/>
    </w:p>
    <w:p w14:paraId="43693E1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大耕地保护力度，严守耕地红线，全面落实永久基本农田保护制度，推进农田水利建设；实施农机化提升工程，大力推进茶叶、中草药、油茶、雷竹等特色优势农产品生产机械化；强化农业科技支撑，加强油茶、中草药等创新研究服务平台建设。重点实施新建杨林桥水库灌区和木三李水库灌区，对香石灌区、台山灌区进行节水配套改造。</w:t>
      </w:r>
    </w:p>
    <w:p w14:paraId="33F8E3C2">
      <w:pPr>
        <w:pStyle w:val="4"/>
        <w:ind w:firstLine="640"/>
      </w:pPr>
      <w:bookmarkStart w:id="500" w:name="_Toc8327"/>
      <w:bookmarkStart w:id="501" w:name="_Toc6850"/>
      <w:bookmarkStart w:id="502" w:name="_Toc13532"/>
      <w:bookmarkStart w:id="503" w:name="_Toc28658"/>
      <w:bookmarkStart w:id="504" w:name="_Toc10816"/>
      <w:bookmarkStart w:id="505" w:name="_Toc138428869"/>
      <w:bookmarkStart w:id="506" w:name="_Toc21907"/>
      <w:bookmarkStart w:id="507" w:name="_Toc26398"/>
      <w:bookmarkStart w:id="508" w:name="_Toc8746"/>
      <w:bookmarkStart w:id="509" w:name="_Toc29520"/>
      <w:bookmarkStart w:id="510" w:name="_Toc30121"/>
      <w:bookmarkStart w:id="511" w:name="_Toc138866740"/>
      <w:r>
        <w:rPr>
          <w:rFonts w:hint="eastAsia"/>
        </w:rPr>
        <w:t>缓解农业面源污染</w:t>
      </w:r>
      <w:bookmarkEnd w:id="500"/>
      <w:bookmarkEnd w:id="501"/>
      <w:bookmarkEnd w:id="502"/>
      <w:bookmarkEnd w:id="503"/>
      <w:bookmarkEnd w:id="504"/>
      <w:bookmarkEnd w:id="505"/>
      <w:bookmarkEnd w:id="506"/>
      <w:bookmarkEnd w:id="507"/>
      <w:bookmarkEnd w:id="508"/>
      <w:bookmarkEnd w:id="509"/>
      <w:bookmarkEnd w:id="510"/>
      <w:bookmarkEnd w:id="511"/>
    </w:p>
    <w:p w14:paraId="6ECAE4D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通过建设乔灌草相结合的立体植物带，为农田生物提供生存生境的同时，有效拦截和净化农田尾水，防止水土流失，降低农田尾水氨、磷等污染物的含量，结合生态种养、资源循环再利用、农药化肥减量增效、生活污水生态处理等措施，逐步缓解农业面源污染。</w:t>
      </w:r>
    </w:p>
    <w:p w14:paraId="0F9B3547">
      <w:pPr>
        <w:pStyle w:val="4"/>
        <w:ind w:firstLine="640"/>
      </w:pPr>
      <w:bookmarkStart w:id="512" w:name="_Toc31149"/>
      <w:bookmarkStart w:id="513" w:name="_Toc27966"/>
      <w:bookmarkStart w:id="514" w:name="_Toc29283"/>
      <w:bookmarkStart w:id="515" w:name="_Toc138428870"/>
      <w:bookmarkStart w:id="516" w:name="_Toc13181"/>
      <w:bookmarkStart w:id="517" w:name="_Toc138866741"/>
      <w:r>
        <w:rPr>
          <w:rFonts w:hint="eastAsia"/>
        </w:rPr>
        <w:t>优化耕地布局</w:t>
      </w:r>
      <w:bookmarkEnd w:id="512"/>
      <w:bookmarkEnd w:id="513"/>
      <w:bookmarkEnd w:id="514"/>
      <w:bookmarkEnd w:id="515"/>
      <w:bookmarkEnd w:id="516"/>
      <w:r>
        <w:rPr>
          <w:rFonts w:hint="eastAsia"/>
        </w:rPr>
        <w:t>，提升耕地质量</w:t>
      </w:r>
      <w:bookmarkEnd w:id="517"/>
    </w:p>
    <w:p w14:paraId="34D626A8">
      <w:pPr>
        <w:widowControl/>
        <w:spacing w:line="560" w:lineRule="exact"/>
        <w:ind w:firstLine="640"/>
        <w:jc w:val="both"/>
        <w:rPr>
          <w:rFonts w:ascii="仿宋" w:hAnsi="仿宋" w:eastAsia="仿宋" w:cs="仿宋_GB2312"/>
          <w:kern w:val="0"/>
          <w:szCs w:val="32"/>
          <w:shd w:val="clear" w:color="auto" w:fill="FFFFFF"/>
        </w:rPr>
      </w:pPr>
      <w:bookmarkStart w:id="518" w:name="OLE_LINK56"/>
      <w:bookmarkStart w:id="519" w:name="OLE_LINK55"/>
      <w:r>
        <w:rPr>
          <w:rFonts w:ascii="仿宋" w:hAnsi="仿宋" w:eastAsia="仿宋" w:cs="仿宋_GB2312"/>
          <w:kern w:val="0"/>
          <w:szCs w:val="32"/>
          <w:shd w:val="clear" w:color="auto" w:fill="FFFFFF"/>
        </w:rPr>
        <w:t>县域中部灌溉条件更好、复垦潜力更大、更利于规模化种植、更适合农业综合发展等优势，以保障水生态安全为前提，优化耕地布局，推进优质耕地集中连片，完善水源保护保障。优先在已划定永久基本农田的耕地上加强高标准农田建设、荒地复垦力度，稳定永久基本农田布局。</w:t>
      </w:r>
    </w:p>
    <w:p w14:paraId="58FBCDB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充分利用本地的有机肥资源开展粪肥还田工作、种植绿肥、秸秆还田、生物固氮，推进有机无机结合，改善土壤理化性质，平衡各类养分供给，提升耕地质量。</w:t>
      </w:r>
    </w:p>
    <w:bookmarkEnd w:id="518"/>
    <w:bookmarkEnd w:id="519"/>
    <w:p w14:paraId="563C3C6F">
      <w:pPr>
        <w:pStyle w:val="4"/>
        <w:ind w:firstLine="640"/>
      </w:pPr>
      <w:bookmarkStart w:id="520" w:name="_Toc363"/>
      <w:bookmarkStart w:id="521" w:name="_Toc22425"/>
      <w:bookmarkStart w:id="522" w:name="_Toc6242"/>
      <w:bookmarkStart w:id="523" w:name="_Toc6264"/>
      <w:bookmarkStart w:id="524" w:name="_Toc11983"/>
      <w:bookmarkStart w:id="525" w:name="_Toc26981"/>
      <w:bookmarkStart w:id="526" w:name="_Toc29059"/>
      <w:bookmarkStart w:id="527" w:name="_Toc138866742"/>
      <w:bookmarkStart w:id="528" w:name="_Toc12887"/>
      <w:bookmarkStart w:id="529" w:name="_Toc20170"/>
      <w:bookmarkStart w:id="530" w:name="_Toc9156"/>
      <w:bookmarkStart w:id="531" w:name="_Toc32728"/>
      <w:bookmarkStart w:id="532" w:name="_Toc4911"/>
      <w:bookmarkStart w:id="533" w:name="_Toc8029"/>
      <w:bookmarkStart w:id="534" w:name="_Toc20292"/>
      <w:bookmarkStart w:id="535" w:name="_Toc17678"/>
      <w:bookmarkStart w:id="536" w:name="_Toc10025"/>
      <w:bookmarkStart w:id="537" w:name="_Toc14693"/>
      <w:bookmarkStart w:id="538" w:name="_Toc27285"/>
      <w:bookmarkStart w:id="539" w:name="_Toc138866981"/>
      <w:bookmarkStart w:id="540" w:name="_Toc2693"/>
      <w:r>
        <w:rPr>
          <w:rFonts w:hint="eastAsia"/>
        </w:rPr>
        <w:t>划定永久基本农田储备区</w:t>
      </w:r>
    </w:p>
    <w:p w14:paraId="4B7926B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科学划定永久基本农田储备区，开展零星分散耕地的整合归并、提质改造，将高标准农田和成片优质耕地划入永久基本农田储备区。进一步巩固永久基本农田划定成果，为切实保障永久基本农田数量不变、质量稳定，确保国家粮食安全提供后备资源保障；确保国家重大建设项目在占用永久基本农田情况下，快速实现永久基本农田补划，保障建设项目的顺利实施及社会经济发展。</w:t>
      </w:r>
    </w:p>
    <w:p w14:paraId="2FD5414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将已开展高标准农田建设的耕地纳入永久基本农田储备区。依据储备区潜力分析的结果，将永久基本农田周边的、与永久基本农田地块贯通的、集中连片的潜力图斑优先纳入储备区进行管理。</w:t>
      </w:r>
    </w:p>
    <w:p w14:paraId="77520444">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541" w:name="_Toc25010"/>
      <w:bookmarkStart w:id="542" w:name="_Toc28015"/>
      <w:bookmarkStart w:id="543" w:name="_Toc8281"/>
      <w:bookmarkStart w:id="544" w:name="_Toc29872"/>
      <w:bookmarkStart w:id="545" w:name="_Toc24585"/>
      <w:r>
        <w:rPr>
          <w:rFonts w:hint="eastAsia" w:ascii="黑体" w:hAnsi="黑体" w:cs="黑体"/>
          <w:bCs w:val="0"/>
        </w:rPr>
        <w:t>第二节 农业空间布局</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14:paraId="3AB81870">
      <w:pPr>
        <w:pStyle w:val="4"/>
        <w:ind w:firstLine="640"/>
      </w:pPr>
      <w:bookmarkStart w:id="546" w:name="_Toc7179"/>
      <w:bookmarkStart w:id="547" w:name="_Toc3733"/>
      <w:bookmarkStart w:id="548" w:name="_Toc14959"/>
      <w:bookmarkStart w:id="549" w:name="_Toc10141"/>
      <w:bookmarkStart w:id="550" w:name="_Toc5103"/>
      <w:bookmarkStart w:id="551" w:name="_Toc25461"/>
      <w:bookmarkStart w:id="552" w:name="_Toc138428872"/>
      <w:bookmarkStart w:id="553" w:name="_Toc5303"/>
      <w:bookmarkStart w:id="554" w:name="_Toc138866743"/>
      <w:bookmarkStart w:id="555" w:name="_Toc7710"/>
      <w:bookmarkStart w:id="556" w:name="_Toc20047"/>
      <w:bookmarkStart w:id="557" w:name="_Toc22348"/>
      <w:r>
        <w:rPr>
          <w:rFonts w:hint="eastAsia"/>
        </w:rPr>
        <w:t>优化农业空间布局</w:t>
      </w:r>
      <w:bookmarkEnd w:id="546"/>
      <w:bookmarkEnd w:id="547"/>
      <w:bookmarkEnd w:id="548"/>
      <w:bookmarkEnd w:id="549"/>
      <w:bookmarkEnd w:id="550"/>
      <w:bookmarkEnd w:id="551"/>
      <w:bookmarkEnd w:id="552"/>
      <w:bookmarkEnd w:id="553"/>
      <w:bookmarkEnd w:id="554"/>
      <w:bookmarkEnd w:id="555"/>
      <w:bookmarkEnd w:id="556"/>
      <w:bookmarkEnd w:id="557"/>
    </w:p>
    <w:p w14:paraId="23CB369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依托崇阳竹、茶、药、猪、稻等农业产业基础，因地制宜，促进优势产业向优势区域集中，推动农业功能区建设，做大做强竹、茶、药、猪四大主导产业，做精做细水果、蔬菜等产业，逐步形成“一廊三区多点”的农业布局结构。</w:t>
      </w:r>
    </w:p>
    <w:p w14:paraId="113DA5F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一廊：依托国道</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串联白霓镇、青山镇、沙坪镇、石城镇等良好的农业平原基础的区域，推动农业高质量发展。</w:t>
      </w:r>
    </w:p>
    <w:p w14:paraId="5BB68C0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“三区”：即乡村振兴示范区、现代农业示范区、乡村振兴一二三产融合示范区。以幕阜山旅游公路沿线</w:t>
      </w:r>
      <w:r>
        <w:rPr>
          <w:rFonts w:ascii="Times New Roman" w:hAnsi="Times New Roman" w:eastAsia="仿宋"/>
          <w:kern w:val="0"/>
          <w:szCs w:val="32"/>
          <w:shd w:val="clear" w:color="auto" w:fill="FFFFFF"/>
        </w:rPr>
        <w:t>6</w:t>
      </w:r>
      <w:r>
        <w:rPr>
          <w:rFonts w:ascii="仿宋" w:hAnsi="仿宋" w:eastAsia="仿宋" w:cs="仿宋_GB2312"/>
          <w:kern w:val="0"/>
          <w:szCs w:val="32"/>
          <w:shd w:val="clear" w:color="auto" w:fill="FFFFFF"/>
        </w:rPr>
        <w:t>个乡镇为重点，依托幕阜山、丰富林业资源，路口镇、高枧乡、港口乡、金塘镇和青山镇发展油茶、雷竹、中药材（黄精、白芨等）、野山茶等特色农产品，打造乡村振兴示范区；沿国道</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沿线农业平原基础耕地资源区域建设现代农业示范区；在茅井、洪下、浪口、河田片区等区域实施全域国土综合整治项目，打造乡村振兴一二三产融合发展区。</w:t>
      </w:r>
    </w:p>
    <w:p w14:paraId="2A7B263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“多点”：包括崇阳县雷竹现代化产业园、鲟鱼养殖基地、中药材种植基地、蔬菜种植基地、水稻种植基地等农业生产基地。</w:t>
      </w:r>
    </w:p>
    <w:p w14:paraId="711623E1">
      <w:pPr>
        <w:pStyle w:val="3"/>
        <w:keepNext w:val="0"/>
        <w:widowControl/>
        <w:autoSpaceDE w:val="0"/>
        <w:autoSpaceDN w:val="0"/>
        <w:spacing w:before="312" w:beforeLines="100" w:after="0" w:line="460" w:lineRule="exact"/>
        <w:rPr>
          <w:rFonts w:ascii="黑体" w:hAnsi="黑体" w:cs="黑体"/>
          <w:bCs w:val="0"/>
        </w:rPr>
      </w:pPr>
      <w:bookmarkStart w:id="558" w:name="_Toc9086"/>
      <w:bookmarkStart w:id="559" w:name="_Toc10614"/>
      <w:bookmarkStart w:id="560" w:name="_Toc31653"/>
      <w:bookmarkStart w:id="561" w:name="_Toc5515"/>
      <w:bookmarkStart w:id="562" w:name="_Toc8802"/>
      <w:bookmarkStart w:id="563" w:name="_Toc18779"/>
      <w:bookmarkStart w:id="564" w:name="_Toc8114"/>
      <w:bookmarkStart w:id="565" w:name="_Toc8895"/>
      <w:bookmarkStart w:id="566" w:name="_Toc1333"/>
      <w:bookmarkStart w:id="567" w:name="_Toc13581"/>
      <w:bookmarkStart w:id="568" w:name="_Toc27217"/>
      <w:bookmarkStart w:id="569" w:name="_Toc27499"/>
      <w:bookmarkStart w:id="570" w:name="_Toc27381"/>
      <w:bookmarkStart w:id="571" w:name="_Toc22561"/>
      <w:bookmarkStart w:id="572" w:name="_Toc138866746"/>
      <w:bookmarkStart w:id="573" w:name="_Toc10659"/>
      <w:bookmarkStart w:id="574" w:name="_Toc8948"/>
      <w:bookmarkStart w:id="575" w:name="_Toc29634"/>
      <w:bookmarkStart w:id="576" w:name="_Toc138866982"/>
      <w:bookmarkStart w:id="577" w:name="_Toc898"/>
      <w:bookmarkStart w:id="578" w:name="_Toc7883"/>
      <w:bookmarkStart w:id="579" w:name="_Toc27313"/>
      <w:bookmarkStart w:id="580" w:name="_Toc1338"/>
      <w:bookmarkStart w:id="581" w:name="_Toc22139"/>
      <w:bookmarkStart w:id="582" w:name="_Toc2697"/>
      <w:bookmarkStart w:id="583" w:name="_Toc2301"/>
      <w:bookmarkStart w:id="584" w:name="_Toc12469"/>
      <w:r>
        <w:rPr>
          <w:rFonts w:hint="eastAsia" w:ascii="黑体" w:hAnsi="黑体" w:cs="黑体"/>
          <w:bCs w:val="0"/>
        </w:rPr>
        <w:t>第三节 乡村振兴战略</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5EAFD718">
      <w:pPr>
        <w:pStyle w:val="4"/>
        <w:ind w:firstLine="640"/>
      </w:pPr>
      <w:bookmarkStart w:id="585" w:name="_Toc14409"/>
      <w:bookmarkStart w:id="586" w:name="_Toc1921"/>
      <w:bookmarkStart w:id="587" w:name="_Toc138866747"/>
      <w:bookmarkStart w:id="588" w:name="_Toc5749"/>
      <w:bookmarkStart w:id="589" w:name="_Toc9954"/>
      <w:bookmarkStart w:id="590" w:name="_Toc12937"/>
      <w:bookmarkStart w:id="591" w:name="_Toc20131"/>
      <w:bookmarkStart w:id="592" w:name="_Toc18292"/>
      <w:bookmarkStart w:id="593" w:name="_Toc13706"/>
      <w:bookmarkStart w:id="594" w:name="_Toc138428877"/>
      <w:bookmarkStart w:id="595" w:name="_Toc8688"/>
      <w:bookmarkStart w:id="596" w:name="_Toc173"/>
      <w:r>
        <w:rPr>
          <w:rFonts w:hint="eastAsia"/>
        </w:rPr>
        <w:t>农业产业空间布局指引</w:t>
      </w:r>
    </w:p>
    <w:p w14:paraId="3BA80FF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按照“山区发展中药材，丘陵栽培雷竹、茶叶与油茶、平畈种植水稻和蔬菜、可养区壮大生猪”的思路，稳定发展粮油产业，做大做强“两茶雷竹中药材生猪”等四大特色产业。推进农业基地规模化，大力发展循环农业、有机农业，提高农业附加值。助推特色产业发展，围绕“两茶雷竹中药材生猪”作为特色产业培育。</w:t>
      </w:r>
    </w:p>
    <w:p w14:paraId="036E945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油茶：以崇阳县林业局油茶苗圃场为基础建设油茶产业园，以路口镇翠竹岭沿路区域打造万亩油茶基地，建设沿杭瑞高速油茶林带和沿武深高速油茶林带、白羊山油茶区、翠竹岭油茶区、雨山油茶区、大湖山油茶区、河岭太平油茶区、台山顶油茶区、方山油茶区、谢家坳油茶区、金子山油茶区、高枧乡横梗岭油茶区和河田大塘油茶区等十万亩油茶产业基地等重点区域发展油茶。</w:t>
      </w:r>
    </w:p>
    <w:p w14:paraId="5941EFC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茶业：重点以青山镇、铜钟乡、白霓镇为核心的高效特色茶区，突出“特色”，主抓白茶、黄茶开发，打造崇阳白茶公共品牌。</w:t>
      </w:r>
    </w:p>
    <w:p w14:paraId="0DED117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雷竹：重点以桂花泉镇、天城镇为雷种植基地，做大做强雷竹产业，打造崇阳成为“华中雷竹强县”。发挥“崇阳雷竹笋”地理标志产品效应，重点推进崇阳县雷竹现代产业园建设，实现雷竹产业一二三产融合立体发展。</w:t>
      </w:r>
    </w:p>
    <w:p w14:paraId="75AB0F9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中药材：坚持“兴药富民”的发展战略，把崇阳打造成“湖北药谷”“湖北道地药材之乡”。重点发展黄精、白芨等“崇六味”优势品种，建设黄精、白芨中药材基地。</w:t>
      </w:r>
    </w:p>
    <w:p w14:paraId="095BDE0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生猪养殖：巩固崇阳县生猪调出大县地位，加快推进崇阳县规模养殖业转型升级，建设规模化、现代化、标准化、智能化的养殖场，实行种养循环，强化动物疫病防控。重点优质肉猪生产乡镇建设现代化、标准化畜禽养殖基地，重点推进现代食品加工及绿色循环经济产业示范园建设。</w:t>
      </w:r>
    </w:p>
    <w:p w14:paraId="66132C1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瓜果蔬菜：依托白霓镇、沙坪镇、肖岭乡、天城镇良好的精品水果生产基础，发挥林果树涵养水土功能的同时，提高南部生态屏障幕阜山脉土地资源的利用效率和经济效益。</w:t>
      </w:r>
    </w:p>
    <w:p w14:paraId="74A28D3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水产特色养殖：主要分布在石城镇、天城镇、青山镇、沙坪镇、路口镇、肖岭乡等地。以地精养鱼池为主，通过鱼池改造升级和装备更新，调整养殖品种结构，形成石城养殖特色生态健康养殖模式，将石城镇打造成集信息化、规模化、智能化、设施化于一体现代渔业示范区。</w:t>
      </w:r>
    </w:p>
    <w:p w14:paraId="3CF0A515">
      <w:pPr>
        <w:pStyle w:val="4"/>
        <w:ind w:firstLine="640"/>
      </w:pPr>
      <w:r>
        <w:rPr>
          <w:rFonts w:hint="eastAsia"/>
        </w:rPr>
        <w:t>分类引导行政村有序发展</w:t>
      </w:r>
      <w:bookmarkEnd w:id="585"/>
      <w:bookmarkEnd w:id="586"/>
      <w:bookmarkEnd w:id="587"/>
      <w:bookmarkEnd w:id="588"/>
      <w:bookmarkEnd w:id="589"/>
      <w:bookmarkEnd w:id="590"/>
      <w:bookmarkEnd w:id="591"/>
      <w:bookmarkEnd w:id="592"/>
      <w:bookmarkEnd w:id="593"/>
      <w:bookmarkEnd w:id="594"/>
      <w:bookmarkEnd w:id="595"/>
      <w:bookmarkEnd w:id="596"/>
    </w:p>
    <w:p w14:paraId="0DBDAF4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村庄类型划定及指引。顺应村庄发展规律和演变趋势，根据崇阳不同村庄的发展现状、区位条件、资源禀赋等，按照集聚提升类、特色保护类、城郊融合类、拆迁撤并类和其他类，科学规划、分类推进“五类”村庄发展。</w:t>
      </w:r>
    </w:p>
    <w:p w14:paraId="25C1EDA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集聚提升类</w:t>
      </w:r>
      <w:r>
        <w:rPr>
          <w:rFonts w:ascii="Times New Roman" w:hAnsi="Times New Roman" w:eastAsia="仿宋"/>
          <w:kern w:val="0"/>
          <w:szCs w:val="32"/>
          <w:shd w:val="clear" w:color="auto" w:fill="FFFFFF"/>
        </w:rPr>
        <w:t>17</w:t>
      </w:r>
      <w:r>
        <w:rPr>
          <w:rFonts w:ascii="仿宋" w:hAnsi="仿宋" w:eastAsia="仿宋" w:cs="仿宋_GB2312"/>
          <w:kern w:val="0"/>
          <w:szCs w:val="32"/>
          <w:shd w:val="clear" w:color="auto" w:fill="FFFFFF"/>
        </w:rPr>
        <w:t>个，此类村庄发展规模成熟，产业农业发展兴旺，通过对村庄进行提档升级，壮大产业发展规模，加大乡村建设力度。</w:t>
      </w:r>
    </w:p>
    <w:p w14:paraId="23845D9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特色保护类</w:t>
      </w:r>
      <w:r>
        <w:rPr>
          <w:rFonts w:ascii="Times New Roman" w:hAnsi="Times New Roman" w:eastAsia="仿宋"/>
          <w:kern w:val="0"/>
          <w:szCs w:val="32"/>
          <w:shd w:val="clear" w:color="auto" w:fill="FFFFFF"/>
        </w:rPr>
        <w:t>33</w:t>
      </w:r>
      <w:r>
        <w:rPr>
          <w:rFonts w:ascii="仿宋" w:hAnsi="仿宋" w:eastAsia="仿宋" w:cs="仿宋_GB2312"/>
          <w:kern w:val="0"/>
          <w:szCs w:val="32"/>
          <w:shd w:val="clear" w:color="auto" w:fill="FFFFFF"/>
        </w:rPr>
        <w:t>个，主要分布在南部山区，此类村庄主要有历史文化、传统特色或其他具有特色旅游资源的村庄，以保护为主。重点做好历史文化、自然景观、建筑风貌等方面的特色挖掘和展示，针对性补充完善相关设施，促进乡村旅游等特色产业发展。</w:t>
      </w:r>
    </w:p>
    <w:p w14:paraId="4F27BD5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城郊融合类</w:t>
      </w:r>
      <w:r>
        <w:rPr>
          <w:rFonts w:ascii="Times New Roman" w:hAnsi="Times New Roman" w:eastAsia="仿宋"/>
          <w:kern w:val="0"/>
          <w:szCs w:val="32"/>
          <w:shd w:val="clear" w:color="auto" w:fill="FFFFFF"/>
        </w:rPr>
        <w:t>25</w:t>
      </w:r>
      <w:r>
        <w:rPr>
          <w:rFonts w:ascii="仿宋" w:hAnsi="仿宋" w:eastAsia="仿宋" w:cs="仿宋_GB2312"/>
          <w:kern w:val="0"/>
          <w:szCs w:val="32"/>
          <w:shd w:val="clear" w:color="auto" w:fill="FFFFFF"/>
        </w:rPr>
        <w:t>个，此类村庄位于城镇周边，将协同城镇融合发展，重点加快村庄与中心城区、镇区融合，推进城乡产业融合发展、基础设施互联互通、公共服务共建共享。</w:t>
      </w:r>
    </w:p>
    <w:p w14:paraId="4AA2069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搬迁撤并类</w:t>
      </w:r>
      <w:r>
        <w:rPr>
          <w:rFonts w:ascii="Times New Roman" w:hAnsi="Times New Roman" w:eastAsia="仿宋"/>
          <w:kern w:val="0"/>
          <w:szCs w:val="32"/>
          <w:shd w:val="clear" w:color="auto" w:fill="FFFFFF"/>
        </w:rPr>
        <w:t>9</w:t>
      </w:r>
      <w:r>
        <w:rPr>
          <w:rFonts w:ascii="仿宋" w:hAnsi="仿宋" w:eastAsia="仿宋" w:cs="仿宋_GB2312"/>
          <w:kern w:val="0"/>
          <w:szCs w:val="32"/>
          <w:shd w:val="clear" w:color="auto" w:fill="FFFFFF"/>
        </w:rPr>
        <w:t>个，此类村庄位于生存条件恶劣、生态环境脆弱、自然灾害频发等地区的村庄，需要实施村庄搬迁撤并，重点限制新建、扩建活动，通过合村并点、生态搬迁等方式逐步引导村庄撤并。</w:t>
      </w:r>
    </w:p>
    <w:p w14:paraId="60C377B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其他类</w:t>
      </w:r>
      <w:r>
        <w:rPr>
          <w:rFonts w:ascii="Times New Roman" w:hAnsi="Times New Roman" w:eastAsia="仿宋"/>
          <w:kern w:val="0"/>
          <w:szCs w:val="32"/>
          <w:shd w:val="clear" w:color="auto" w:fill="FFFFFF"/>
        </w:rPr>
        <w:t>103</w:t>
      </w:r>
      <w:r>
        <w:rPr>
          <w:rFonts w:ascii="仿宋" w:hAnsi="仿宋" w:eastAsia="仿宋" w:cs="仿宋_GB2312"/>
          <w:kern w:val="0"/>
          <w:szCs w:val="32"/>
          <w:shd w:val="clear" w:color="auto" w:fill="FFFFFF"/>
        </w:rPr>
        <w:t>个，此类以农业生产为主，仍将存续的一般村庄。以改善村庄人居环境为目的，以保障村民基本生活条件、治理村庄环境、提升村庄风貌为主要任务。</w:t>
      </w:r>
    </w:p>
    <w:p w14:paraId="560E746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引导村庄建设用地集约利用。坚持节约集约原则，优化建设用地布局，因地制宜推进村庄建设适度集中，推进集体土地整备利用和农村建设用地拆旧复垦，严格控制村庄建设用地规模。</w:t>
      </w:r>
    </w:p>
    <w:p w14:paraId="41234A12">
      <w:pPr>
        <w:widowControl/>
        <w:spacing w:line="560" w:lineRule="exact"/>
        <w:ind w:firstLine="640"/>
        <w:jc w:val="both"/>
        <w:rPr>
          <w:rFonts w:ascii="Times New Roman" w:hAnsi="Times New Roman" w:eastAsia="仿宋"/>
          <w:sz w:val="28"/>
          <w:szCs w:val="28"/>
        </w:rPr>
      </w:pPr>
      <w:r>
        <w:rPr>
          <w:rFonts w:ascii="仿宋" w:hAnsi="仿宋" w:eastAsia="仿宋" w:cs="仿宋_GB2312"/>
          <w:kern w:val="0"/>
          <w:szCs w:val="32"/>
          <w:shd w:val="clear" w:color="auto" w:fill="FFFFFF"/>
        </w:rPr>
        <w:t>优化村庄用地规模指标使用。根据现代农业和农村产业融合等发展需要，用于农村新产业新业态发展或零星分散的单独选址农业设施、乡村旅游设施等。对于零散休闲农业和乡村旅游建设项目，如农村厕所、旅游驿站、停车场等，可按程序、分批打包申请预留建设用地规模。符合“三区三线”管控要求，确保县域村庄建设规模不超过</w:t>
      </w:r>
      <w:r>
        <w:rPr>
          <w:rFonts w:ascii="Times New Roman" w:hAnsi="Times New Roman" w:eastAsia="仿宋"/>
          <w:kern w:val="0"/>
          <w:szCs w:val="32"/>
          <w:shd w:val="clear" w:color="auto" w:fill="FFFFFF"/>
        </w:rPr>
        <w:t>2020</w:t>
      </w:r>
      <w:r>
        <w:rPr>
          <w:rFonts w:ascii="仿宋" w:hAnsi="仿宋" w:eastAsia="仿宋" w:cs="仿宋_GB2312"/>
          <w:kern w:val="0"/>
          <w:szCs w:val="32"/>
          <w:shd w:val="clear" w:color="auto" w:fill="FFFFFF"/>
        </w:rPr>
        <w:t>年度国土变更调查村庄用地（</w:t>
      </w:r>
      <w:r>
        <w:rPr>
          <w:rFonts w:ascii="Times New Roman" w:hAnsi="Times New Roman" w:eastAsia="仿宋"/>
          <w:kern w:val="0"/>
          <w:szCs w:val="32"/>
          <w:shd w:val="clear" w:color="auto" w:fill="FFFFFF"/>
        </w:rPr>
        <w:t>203</w:t>
      </w:r>
      <w:r>
        <w:rPr>
          <w:rFonts w:ascii="仿宋" w:hAnsi="仿宋" w:eastAsia="仿宋" w:cs="仿宋_GB2312"/>
          <w:kern w:val="0"/>
          <w:szCs w:val="32"/>
          <w:shd w:val="clear" w:color="auto" w:fill="FFFFFF"/>
        </w:rPr>
        <w:t>）规模的前提下，可结合乡镇级国土空间规划优化村庄建设边界，预留部分规模作为规划“留白”机动指标，为未来发展作预留。</w:t>
      </w:r>
    </w:p>
    <w:p w14:paraId="7A1B8FC6">
      <w:pPr>
        <w:pStyle w:val="4"/>
        <w:ind w:firstLine="640"/>
      </w:pPr>
      <w:r>
        <w:rPr>
          <w:rFonts w:hint="eastAsia"/>
        </w:rPr>
        <w:t>加强村庄“通则式”规划管理</w:t>
      </w:r>
    </w:p>
    <w:p w14:paraId="297F0F0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镇开发边界外，村庄规划（详细规划）未覆盖的乡村地区，以及其他开发建设需求较小或不具备条件的非重点发展村庄。可制定“通则式”规划管理规定，明确村庄建设边界以及“三区三线”、自然灾害风险防控线、历史文化保护线和风貌特色等控制引导要求，符合条件的农民建房、乡村公共服务设施和公用设施建设、使用存量建设用地的乡村产业项目建设等情形，可以直接依据“通则”或纳入乡级国土空间规划，依法报批后作为乡村规划建设管理依据。</w:t>
      </w:r>
    </w:p>
    <w:p w14:paraId="0DCAFA5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明确村庄建设边界。村庄建设边界不得与“三区三线”冲突，应充分利用河流、湖泊、林地、山川、道路等现状地物，落实上位国土空间规划村庄发展规模，将村庄现状建设用地和近远期发展所需要的各类建设用地和村庄密切联系的农林用地等一并划入村庄建设边界。</w:t>
      </w:r>
    </w:p>
    <w:p w14:paraId="5BA5FB50">
      <w:pPr>
        <w:pStyle w:val="4"/>
        <w:ind w:firstLine="640"/>
      </w:pPr>
      <w:bookmarkStart w:id="597" w:name="_Toc138428878"/>
      <w:bookmarkStart w:id="598" w:name="_Toc11199"/>
      <w:bookmarkStart w:id="599" w:name="_Toc138866748"/>
      <w:bookmarkStart w:id="600" w:name="_Toc19835"/>
      <w:bookmarkStart w:id="601" w:name="_Toc2743"/>
      <w:bookmarkStart w:id="602" w:name="_Toc3728"/>
      <w:bookmarkStart w:id="603" w:name="_Toc17036"/>
      <w:bookmarkStart w:id="604" w:name="_Toc27457"/>
      <w:bookmarkStart w:id="605" w:name="_Toc10311"/>
      <w:r>
        <w:rPr>
          <w:rFonts w:hint="eastAsia"/>
        </w:rPr>
        <w:t>乡村人居环境整治</w:t>
      </w:r>
      <w:bookmarkEnd w:id="597"/>
      <w:bookmarkEnd w:id="598"/>
      <w:bookmarkEnd w:id="599"/>
      <w:bookmarkEnd w:id="600"/>
      <w:bookmarkEnd w:id="601"/>
      <w:bookmarkEnd w:id="602"/>
      <w:bookmarkEnd w:id="603"/>
      <w:bookmarkEnd w:id="604"/>
      <w:bookmarkEnd w:id="605"/>
    </w:p>
    <w:p w14:paraId="4A4F89B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持续推进农村人居环境整治，开展美丽家园、美丽田园、美丽河库、美丽园区、美丽廊道五大专项行动，常态化推进农村厕所革命工作，实现农村户厕建改愿改尽改、提档升级，农村公厕管护到位。全县农村卫生厕所全面普及，无害化户厕普及率达到省市要求，确保所有行政村达到干净整洁村标准。推进以“三清理”“三拆除”为主要内容的人居环境整治，实行清旧补绿、拆旧建绿，着力改善农村村容村貌；完善农村垃圾收运和处理设施，试点推进农村生活垃圾分类和资源化利用工作；统筹推进村镇生活污水处理设施和配套管网建设工作，大力开展农村生活污水一体化处理和资源化利用。</w:t>
      </w:r>
    </w:p>
    <w:p w14:paraId="0AD8FA3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深入推进农村环境综合整治。坚持把农村群众生活宜居作为首要任务，深入推进农村人居环境整治，常态化推进农村厕所革命工作，实现农户厕所应改尽改、愿改尽改，农村公厕管护到位。显著改善农村村容村貌。推进农村生活垃圾治理，推广“户分类、村收集、镇转运、集中处理”模式，推行垃圾就地分类和资源化利用。到规划期末实现所有村庄的生活垃圾得到有效治理，垃圾处理率达到</w:t>
      </w:r>
      <w:r>
        <w:rPr>
          <w:rFonts w:ascii="Times New Roman" w:hAnsi="Times New Roman" w:eastAsia="仿宋"/>
          <w:kern w:val="0"/>
          <w:szCs w:val="32"/>
          <w:shd w:val="clear" w:color="auto" w:fill="FFFFFF"/>
        </w:rPr>
        <w:t>100</w:t>
      </w:r>
      <w:r>
        <w:rPr>
          <w:rFonts w:ascii="仿宋" w:hAnsi="仿宋" w:eastAsia="仿宋" w:cs="仿宋_GB2312"/>
          <w:kern w:val="0"/>
          <w:szCs w:val="32"/>
          <w:shd w:val="clear" w:color="auto" w:fill="FFFFFF"/>
        </w:rPr>
        <w:t xml:space="preserve">%。                                                                                                                                                                                                                                                                                                                                                                                                                                                                                                                                                                                                                                                                                                                                                                                                                                                                                                                                                                                                                                                                                                                                                                                                                                                                                                                                                                                                                                                                                                                                                                                                                                                                                                                                                                                                                                                                                                                                                                                                                                                                                                                                                                                                                                                                                                                                                                                                                                                                                                                                                                                                                                                                                                                                                                                                                                                                                                                                                                                                                                                                                                                                                                                                                                                                                                                                                                                                                                                                                                                                                                                                                                                                                                                                                                                                                                                                                                                                                                                                                                                                                                                                                                                                              </w:t>
      </w:r>
      <w:r>
        <w:rPr>
          <w:rFonts w:ascii="仿宋" w:hAnsi="仿宋" w:eastAsia="仿宋" w:cs="仿宋_GB2312"/>
          <w:kern w:val="0"/>
          <w:szCs w:val="32"/>
          <w:shd w:val="clear" w:color="auto" w:fill="FFFFFF"/>
        </w:rPr>
        <w:t xml:space="preserve">                                                                                                                                                                                                                                                                                                                                                                                                                                                                                                                                                                                                                                                                                                                                                                                                                                                                                                                                                                                                                                                                                                                                                                                                                                                                                                                                                                                                                                                                                                                                                                                                                                                                                                                                                                                                                                                                                                                                                                                                                                                                                                                                                                                                                                                                                                                                                                                                                                                                                                                                                                                                                                                                                                                                                                                                                                                                                                                                                                                                                                                                                                                                                                                                                                                                                                                                                                                                                                                                                                                                                                                                                                                                                                                                                                                                                                                                                                                                                                                                                                                                                                                                                                                                                </w:t>
      </w:r>
      <w:r>
        <w:rPr>
          <w:rFonts w:ascii="仿宋" w:hAnsi="仿宋" w:eastAsia="仿宋" w:cs="仿宋_GB2312"/>
          <w:kern w:val="0"/>
          <w:szCs w:val="32"/>
          <w:shd w:val="clear" w:color="auto" w:fill="FFFFFF"/>
        </w:rPr>
        <w:t xml:space="preserve">                                                                                                                                                                                                                                                                                                                                                                                                                                                                                                                                                                                                                                                                                                                                                                                                                                                                                                                                                                                                                                                                                                                                                                                                                                                                                                                                                                                                                                                                                                                                                                                                                                                                                                                                                                                                                                                                                                                                                                                                                                                                                                                                                                                                                                                                                                                                                                                                                                                                                                                                                                                                                                                                                                                                                                                                           </w:t>
      </w:r>
    </w:p>
    <w:p w14:paraId="54BA4D2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梯次推进农村生活污水治理，推动城镇污水管网向周边村庄延伸覆盖，加强生活污水源头减量和尾水回收利用。以房前屋后、河塘沟渠为重点实施清淤疏浚，采取综合措施恢复水生态，逐步消除农村黑臭水体，加强畜禽养殖粪污收集、贮存、处理、利用等基础设施建设和改造，全面构建种养结合、农牧循环的粪污资源化利用体系。加快推进通村组道路、入户道路建设，基本解决村内道路泥泞、村民出行不便等问题。抓好农村老旧配电设施，线路维修维护，提高农村电网运行可靠性和安全性，加快现代农村电网建设，完善村庄公共照明设施。</w:t>
      </w:r>
    </w:p>
    <w:p w14:paraId="6BFDE47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强化乡村特色风貌建设。保护乡村风貌多样性，建设立足乡土社会、富有地域特色、承载田园乡愁、体现现代文明的美丽乡村。实现美丽乡村省级示范村、市级示范村、县级示范村“三级联创”，全面实施村庄绿化工程，开展“美丽庭院”创建行动，</w:t>
      </w:r>
      <w:r>
        <w:rPr>
          <w:rFonts w:ascii="Times New Roman" w:hAnsi="Times New Roman" w:eastAsia="仿宋"/>
          <w:kern w:val="0"/>
          <w:szCs w:val="32"/>
          <w:shd w:val="clear" w:color="auto" w:fill="FFFFFF"/>
        </w:rPr>
        <w:t>80</w:t>
      </w:r>
      <w:r>
        <w:rPr>
          <w:rFonts w:ascii="仿宋" w:hAnsi="仿宋" w:eastAsia="仿宋" w:cs="仿宋_GB2312"/>
          <w:kern w:val="0"/>
          <w:szCs w:val="32"/>
          <w:shd w:val="clear" w:color="auto" w:fill="FFFFFF"/>
        </w:rPr>
        <w:t>%以上农村庭院建成美丽庭院。大力提升农村建筑风貌，注重农房单体个性设计，鼓励集中连片建设美丽宜居乡村，综合提升田水路林村风貌，促进村庄形态与自然环境相得益彰，建立台账逐村推进。</w:t>
      </w:r>
    </w:p>
    <w:p w14:paraId="2DFB89B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建立健全整治长效机制。全面推进村庄规划编制实施，加强乡村建设规划许可管理。坚持“建管并重”，探索政府支持与村民自治、市场化运作相结合的农村环保设施管理体制，将管理主体、经费保障、人员配备等内容制度化、规范化，确保运行维护长效管理。推行环境治理依法依规付费制度，完善财政补贴和农户付费合理分担机制。充分发挥村民主体作用，鼓励专业化、市场化建设和运行管护。</w:t>
      </w:r>
      <w:bookmarkStart w:id="606" w:name="_Toc13403"/>
      <w:bookmarkStart w:id="607" w:name="_Toc18596"/>
      <w:bookmarkStart w:id="608" w:name="_Toc28998"/>
      <w:bookmarkStart w:id="609" w:name="_Toc29232"/>
      <w:bookmarkStart w:id="610" w:name="_Toc23287"/>
      <w:bookmarkStart w:id="611" w:name="_Toc25074"/>
      <w:bookmarkStart w:id="612" w:name="_Toc29505"/>
      <w:bookmarkStart w:id="613" w:name="_Toc138866983"/>
      <w:bookmarkStart w:id="614" w:name="_Toc138866749"/>
      <w:bookmarkStart w:id="615" w:name="_Toc10153"/>
      <w:bookmarkStart w:id="616" w:name="_Toc520"/>
      <w:bookmarkStart w:id="617" w:name="_Toc2937"/>
      <w:bookmarkStart w:id="618" w:name="_Toc26069"/>
      <w:bookmarkStart w:id="619" w:name="_Toc19817"/>
      <w:bookmarkStart w:id="620" w:name="_Toc14230"/>
      <w:bookmarkStart w:id="621" w:name="_Toc15370"/>
      <w:bookmarkStart w:id="622" w:name="_Toc5287"/>
      <w:bookmarkStart w:id="623" w:name="_Toc7929"/>
      <w:bookmarkStart w:id="624" w:name="_Toc9949"/>
      <w:bookmarkStart w:id="625" w:name="_Toc17190"/>
      <w:bookmarkStart w:id="626" w:name="_Toc31457"/>
      <w:bookmarkStart w:id="627" w:name="_Toc11876"/>
      <w:bookmarkStart w:id="628" w:name="_Toc8842"/>
    </w:p>
    <w:p w14:paraId="6B931991">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629" w:name="_Toc27961"/>
      <w:bookmarkStart w:id="630" w:name="_Toc14618"/>
      <w:bookmarkStart w:id="631" w:name="_Toc18232"/>
      <w:bookmarkStart w:id="632" w:name="_Toc8264"/>
      <w:bookmarkStart w:id="633" w:name="_Toc16794"/>
      <w:bookmarkStart w:id="634" w:name="_Toc8781"/>
      <w:r>
        <w:rPr>
          <w:rFonts w:hint="eastAsia" w:ascii="黑体" w:hAnsi="黑体" w:cs="黑体"/>
          <w:bCs w:val="0"/>
        </w:rPr>
        <w:t>第四节 推进全域国土综合整治</w:t>
      </w:r>
      <w:bookmarkEnd w:id="629"/>
      <w:bookmarkEnd w:id="630"/>
      <w:bookmarkEnd w:id="631"/>
      <w:bookmarkEnd w:id="632"/>
      <w:bookmarkEnd w:id="633"/>
    </w:p>
    <w:p w14:paraId="2F0BB74A">
      <w:pPr>
        <w:pStyle w:val="4"/>
        <w:ind w:firstLine="640"/>
      </w:pPr>
      <w:r>
        <w:rPr>
          <w:rFonts w:hint="eastAsia"/>
        </w:rPr>
        <w:t>全域国土综合整治目标</w:t>
      </w:r>
    </w:p>
    <w:p w14:paraId="33F1CE5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综合整治目标以“全域规划、系统治理、民生导向”为核心，通过空间重构、资源整合和政策创新，推动乡村振兴、生态保护与高质量发展的协同。整体推进农用地整治，存量建设用地再开发利用和生态保护修复。提升高效农业水平，建设现代化农业示范区；促进城乡深度融合，保护修复绿水青山，维护绿色发展空间。通过实施国土综合整治，全面提升耕地保护水平，实现全域耕地面积、质量相对稳定；进一步加强土地整治科学创新，提升土地整治综合服务能力；全面提升建设用地节约集约利用水平；逐步构建农田集中连片、村庄宜居聚集、产业集聚升级的生产、生活、生态空间新格局。</w:t>
      </w:r>
    </w:p>
    <w:p w14:paraId="755EB215">
      <w:pPr>
        <w:pStyle w:val="4"/>
        <w:ind w:firstLine="640"/>
      </w:pPr>
      <w:r>
        <w:rPr>
          <w:rFonts w:hint="eastAsia"/>
        </w:rPr>
        <w:t>推动耕地整治</w:t>
      </w:r>
    </w:p>
    <w:p w14:paraId="2CC1024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结合崇阳县农业发展格局和乡村振兴发展布局，推进农村国土综合整治、坡改梯、废弃地治理等工程，引导新增耕地在中部河谷地区集聚。加快推进全域国土综合整治项目，通过耕地占补平衡、高标准农田建设、旱改水、建设用地复垦等整治工程，提高项目区内耕地数量、质量和集中连片度，实现农业规模化、现代化发展。结合崇阳县农业发展格局和乡村振兴发展布局。</w:t>
      </w:r>
    </w:p>
    <w:p w14:paraId="1A0AB9C4">
      <w:pPr>
        <w:pStyle w:val="4"/>
        <w:ind w:firstLine="640"/>
      </w:pPr>
      <w:r>
        <w:rPr>
          <w:rFonts w:hint="eastAsia"/>
        </w:rPr>
        <w:t>农用地综合整治</w:t>
      </w:r>
    </w:p>
    <w:p w14:paraId="005AB0E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结合自然地理格局，分区差异化整治。以乡镇为基本实施单元，大力开展农田整治。按照“先易后难、先简后繁”的原则对耕地后备资源进行整理复垦，优化耕地布局，提升耕地数量与质量，兼顾农村生态环境。按照“规划引导，统筹安排，规模整治”原则，加快建设高标准农田，通过对田、水、路、林、村进行综合整理，建成“田成方、路成网、树成行、渠相连、生态优”高质量标准农田，农田连片与村庄集聚的土地保护利用新格局。</w:t>
      </w:r>
    </w:p>
    <w:p w14:paraId="523803C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开展高标准农田建设。大力实施“藏粮于地”战略，在永久基本农田保护区和整备区统筹推进高标准农田建设和土地整治。综合整治低效利用及不合理利用的农用地，增加有效耕地面积。深入推进耕地质量保护行动，将中低质量的耕地纳入高标准农田建设范围，实施提质改造。通过坡改梯、施加有机肥、秸秆还田、耕作层剥离再利用等措施改良土壤质量，在优化耕地布局、增加耕地面积的同时，提高耕地质量和集中连片度。</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年，全域耕地质量提升</w:t>
      </w:r>
      <w:r>
        <w:rPr>
          <w:rFonts w:ascii="Times New Roman" w:hAnsi="Times New Roman" w:eastAsia="仿宋"/>
          <w:kern w:val="0"/>
          <w:szCs w:val="32"/>
          <w:shd w:val="clear" w:color="auto" w:fill="FFFFFF"/>
        </w:rPr>
        <w:t>0</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个等级以上，耕地主要用于粮食和棉、油、糖、蔬菜等农产品及饲草饲料生产，永久基本农田重点用于粮食生产，高标准农田原则上全部用于粮食生产，到</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年将永久基本农田全部建设成为高标准农田。</w:t>
      </w:r>
    </w:p>
    <w:p w14:paraId="674FFF1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推进占补平衡项目建设。为切实保护耕地，充分挖掘补充耕地潜力，将项目区内现状为低效林地、低效园地垦造为耕地，作为耕地占补平衡指标。结合项目区现状基础设施条件、土地利用因素、水资源以及新增耕地潜力分布情况，通过土地平整工程、灌溉与排水工程和田间道路工程等保障新增耕地的质量和农业生产的需求。</w:t>
      </w:r>
    </w:p>
    <w:p w14:paraId="00C41EBD">
      <w:pPr>
        <w:pStyle w:val="4"/>
        <w:ind w:firstLine="640"/>
      </w:pPr>
      <w:r>
        <w:rPr>
          <w:rFonts w:hint="eastAsia"/>
        </w:rPr>
        <w:t>实施乡村地区国土综合整治</w:t>
      </w:r>
    </w:p>
    <w:p w14:paraId="7D03218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推进农用地综合整治，加强低效园地、残次林地、废弃坑塘和未利用等适宜开发农用地整治，推动宜耕后备资源开发，增加有效耕地面积，引导农区种植结构优化。</w:t>
      </w:r>
    </w:p>
    <w:p w14:paraId="6A9E753C">
      <w:pPr>
        <w:widowControl/>
        <w:spacing w:line="560" w:lineRule="exact"/>
        <w:ind w:firstLine="640"/>
        <w:jc w:val="both"/>
        <w:rPr>
          <w:rFonts w:ascii="Times New Roman" w:hAnsi="Times New Roman" w:eastAsia="仿宋_GB2312"/>
          <w:sz w:val="28"/>
          <w:szCs w:val="28"/>
        </w:rPr>
      </w:pPr>
      <w:r>
        <w:rPr>
          <w:rFonts w:ascii="仿宋" w:hAnsi="仿宋" w:eastAsia="仿宋" w:cs="仿宋_GB2312"/>
          <w:kern w:val="0"/>
          <w:szCs w:val="32"/>
          <w:shd w:val="clear" w:color="auto" w:fill="FFFFFF"/>
        </w:rPr>
        <w:t>通过“国土整治+”模式，非遗传承、农事体验、科研教学等要素汇聚，助推乡村振兴。</w:t>
      </w:r>
    </w:p>
    <w:p w14:paraId="1E66150B">
      <w:pPr>
        <w:pStyle w:val="4"/>
        <w:ind w:firstLine="640"/>
      </w:pPr>
      <w:r>
        <w:rPr>
          <w:rFonts w:hint="eastAsia"/>
        </w:rPr>
        <w:t>推进农村低效建设用地整理</w:t>
      </w:r>
    </w:p>
    <w:p w14:paraId="5E6181B7">
      <w:pPr>
        <w:widowControl/>
        <w:shd w:val="clear" w:color="auto" w:fill="FFFFFF"/>
        <w:spacing w:line="560" w:lineRule="exact"/>
        <w:ind w:firstLine="640"/>
        <w:rPr>
          <w:rFonts w:ascii="Times New Roman" w:hAnsi="Times New Roman" w:eastAsia="仿宋_GB2312"/>
          <w:sz w:val="28"/>
          <w:szCs w:val="28"/>
        </w:rPr>
      </w:pPr>
      <w:r>
        <w:rPr>
          <w:rFonts w:ascii="仿宋" w:hAnsi="仿宋" w:eastAsia="仿宋" w:cs="仿宋_GB2312"/>
          <w:kern w:val="0"/>
          <w:szCs w:val="32"/>
          <w:shd w:val="clear" w:color="auto" w:fill="FFFFFF"/>
        </w:rPr>
        <w:t>加强农村建设用地综合整治。综合运用城乡建设用地增减挂钩、乡村振兴等相关政策，对农村集体建设用地进行综合整治，分阶段落实农村居民点整治工程。加强农村宅基地管理，逐步解决宅基地布局散乱和超标准用地问题，引导农村闲置宅基地合理流转，提高农村建设用地利用效率。盘活存量建设用地，集约精准保障新农村基础设施、公共服务设施建设和产业融合发展用地。对空心村、缩并的自然村、不用于城市建设的搬迁宅基地，与农用地整治相结合，进行整理复垦，节约的指标用于城镇建设。</w:t>
      </w:r>
    </w:p>
    <w:p w14:paraId="228FAD75">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bookmarkStart w:id="635" w:name="_Toc3585"/>
      <w:r>
        <w:rPr>
          <w:rFonts w:ascii="黑体" w:hAnsi="黑体" w:eastAsia="黑体" w:cs="方正小标宋_GBK"/>
          <w:bCs w:val="0"/>
          <w:szCs w:val="36"/>
        </w:rPr>
        <w:br w:type="page"/>
      </w:r>
      <w:r>
        <w:rPr>
          <w:rFonts w:hint="eastAsia" w:ascii="黑体" w:hAnsi="黑体" w:eastAsia="黑体" w:cs="方正小标宋_GBK"/>
          <w:bCs w:val="0"/>
          <w:szCs w:val="36"/>
        </w:rPr>
        <w:t>第五章 优化山清水秀生态空间</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34"/>
      <w:bookmarkEnd w:id="635"/>
    </w:p>
    <w:p w14:paraId="256B3C5E">
      <w:pPr>
        <w:pStyle w:val="3"/>
        <w:keepNext w:val="0"/>
        <w:keepLines w:val="0"/>
        <w:widowControl/>
        <w:tabs>
          <w:tab w:val="left" w:leader="dot" w:pos="8295"/>
        </w:tabs>
        <w:autoSpaceDE w:val="0"/>
        <w:autoSpaceDN w:val="0"/>
        <w:spacing w:before="312" w:beforeLines="100" w:after="0" w:line="240" w:lineRule="auto"/>
        <w:rPr>
          <w:rFonts w:ascii="黑体" w:hAnsi="黑体" w:cs="黑体"/>
          <w:bCs w:val="0"/>
        </w:rPr>
      </w:pPr>
      <w:bookmarkStart w:id="636" w:name="_Toc17137"/>
      <w:bookmarkStart w:id="637" w:name="_Toc14086"/>
      <w:bookmarkStart w:id="638" w:name="_Toc138866750"/>
      <w:bookmarkStart w:id="639" w:name="_Toc9647"/>
      <w:bookmarkStart w:id="640" w:name="_Toc27608"/>
      <w:bookmarkStart w:id="641" w:name="_Toc138866984"/>
      <w:bookmarkStart w:id="642" w:name="_Toc9593"/>
      <w:bookmarkStart w:id="643" w:name="_Toc18407"/>
      <w:bookmarkStart w:id="644" w:name="_Toc24579"/>
      <w:bookmarkStart w:id="645" w:name="_Toc21708"/>
      <w:bookmarkStart w:id="646" w:name="_Toc32046"/>
      <w:bookmarkStart w:id="647" w:name="_Toc15053"/>
      <w:bookmarkStart w:id="648" w:name="_Toc8568"/>
      <w:bookmarkStart w:id="649" w:name="_Toc9517"/>
      <w:bookmarkStart w:id="650" w:name="_Toc25890"/>
      <w:bookmarkStart w:id="651" w:name="_Toc22205"/>
      <w:bookmarkStart w:id="652" w:name="_Toc22522"/>
      <w:bookmarkStart w:id="653" w:name="_Toc5127"/>
      <w:bookmarkStart w:id="654" w:name="_Toc5890"/>
      <w:bookmarkStart w:id="655" w:name="_Toc1446"/>
      <w:bookmarkStart w:id="656" w:name="_Toc26317"/>
      <w:bookmarkStart w:id="657" w:name="_Toc15324"/>
      <w:bookmarkStart w:id="658" w:name="_Toc6691"/>
      <w:bookmarkStart w:id="659" w:name="_Toc17898"/>
      <w:bookmarkStart w:id="660" w:name="_Toc17007"/>
      <w:r>
        <w:rPr>
          <w:rFonts w:hint="eastAsia" w:ascii="黑体" w:hAnsi="黑体" w:cs="黑体"/>
          <w:bCs w:val="0"/>
        </w:rPr>
        <w:t>第一节 建立自然保护地体系</w:t>
      </w:r>
      <w:bookmarkEnd w:id="636"/>
    </w:p>
    <w:p w14:paraId="5750CA14">
      <w:pPr>
        <w:pStyle w:val="4"/>
        <w:ind w:firstLine="640"/>
      </w:pPr>
      <w:r>
        <w:rPr>
          <w:rFonts w:hint="eastAsia"/>
        </w:rPr>
        <w:t>自然保护地体系</w:t>
      </w:r>
    </w:p>
    <w:p w14:paraId="6D4722E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落实国家关于自然保护地的相关政策要求，创新自然保护地管理体制机制，实施自然保护地统一设置、分级管理、分区管控，推进新建一批具有重要价值的自然保护地，确保重要自然生态系统、自然遗迹、自然景观和生物多样性得到系统性保护。</w:t>
      </w:r>
    </w:p>
    <w:p w14:paraId="002222A1">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全县共划定自然保护地</w:t>
      </w:r>
      <w:r>
        <w:rPr>
          <w:rFonts w:ascii="Times New Roman" w:hAnsi="Times New Roman" w:eastAsia="仿宋"/>
          <w:kern w:val="0"/>
          <w:szCs w:val="32"/>
          <w:u w:val="none"/>
          <w:shd w:val="clear" w:color="auto" w:fill="FFFFFF"/>
        </w:rPr>
        <w:t>4</w:t>
      </w:r>
      <w:r>
        <w:rPr>
          <w:rFonts w:hint="eastAsia" w:ascii="仿宋" w:hAnsi="仿宋" w:eastAsia="仿宋" w:cs="仿宋_GB2312"/>
          <w:kern w:val="0"/>
          <w:szCs w:val="32"/>
          <w:u w:val="none"/>
          <w:shd w:val="clear" w:color="auto" w:fill="FFFFFF"/>
        </w:rPr>
        <w:t>处。其中，国家级自然公园</w:t>
      </w:r>
      <w:r>
        <w:rPr>
          <w:rFonts w:ascii="Times New Roman" w:hAnsi="Times New Roman" w:eastAsia="仿宋"/>
          <w:kern w:val="0"/>
          <w:szCs w:val="32"/>
          <w:u w:val="none"/>
          <w:shd w:val="clear" w:color="auto" w:fill="FFFFFF"/>
        </w:rPr>
        <w:t>3</w:t>
      </w:r>
      <w:r>
        <w:rPr>
          <w:rFonts w:hint="eastAsia" w:ascii="仿宋" w:hAnsi="仿宋" w:eastAsia="仿宋" w:cs="仿宋_GB2312"/>
          <w:kern w:val="0"/>
          <w:szCs w:val="32"/>
          <w:u w:val="none"/>
          <w:shd w:val="clear" w:color="auto" w:fill="FFFFFF"/>
        </w:rPr>
        <w:t>处，分别为湖北崇阳国家森林自然公园、湖北崇阳青山国家湿地自然公园、湖北崇阳雨山国家石漠自然公园。</w:t>
      </w:r>
      <w:r>
        <w:rPr>
          <w:rFonts w:ascii="仿宋" w:hAnsi="仿宋" w:eastAsia="仿宋" w:cs="仿宋_GB2312"/>
          <w:kern w:val="0"/>
          <w:szCs w:val="32"/>
          <w:u w:val="none"/>
          <w:shd w:val="clear" w:color="auto" w:fill="FFFFFF"/>
        </w:rPr>
        <w:t>省</w:t>
      </w:r>
      <w:r>
        <w:rPr>
          <w:rFonts w:hint="eastAsia" w:ascii="仿宋" w:hAnsi="仿宋" w:eastAsia="仿宋" w:cs="仿宋_GB2312"/>
          <w:kern w:val="0"/>
          <w:szCs w:val="32"/>
          <w:u w:val="none"/>
          <w:shd w:val="clear" w:color="auto" w:fill="FFFFFF"/>
        </w:rPr>
        <w:t>级自然公园</w:t>
      </w:r>
      <w:r>
        <w:rPr>
          <w:rFonts w:ascii="Times New Roman" w:hAnsi="Times New Roman" w:eastAsia="仿宋"/>
          <w:kern w:val="0"/>
          <w:szCs w:val="32"/>
          <w:u w:val="none"/>
          <w:shd w:val="clear" w:color="auto" w:fill="FFFFFF"/>
        </w:rPr>
        <w:t>1</w:t>
      </w:r>
      <w:r>
        <w:rPr>
          <w:rFonts w:hint="eastAsia" w:ascii="仿宋" w:hAnsi="仿宋" w:eastAsia="仿宋" w:cs="仿宋_GB2312"/>
          <w:kern w:val="0"/>
          <w:szCs w:val="32"/>
          <w:u w:val="none"/>
          <w:shd w:val="clear" w:color="auto" w:fill="FFFFFF"/>
        </w:rPr>
        <w:t>处，</w:t>
      </w:r>
      <w:r>
        <w:rPr>
          <w:rFonts w:ascii="仿宋" w:hAnsi="仿宋" w:eastAsia="仿宋" w:cs="仿宋_GB2312"/>
          <w:kern w:val="0"/>
          <w:szCs w:val="32"/>
          <w:u w:val="none"/>
          <w:shd w:val="clear" w:color="auto" w:fill="FFFFFF"/>
        </w:rPr>
        <w:t>为</w:t>
      </w:r>
      <w:r>
        <w:rPr>
          <w:rFonts w:hint="eastAsia" w:ascii="仿宋" w:hAnsi="仿宋" w:eastAsia="仿宋" w:cs="仿宋_GB2312"/>
          <w:kern w:val="0"/>
          <w:szCs w:val="32"/>
          <w:u w:val="none"/>
          <w:shd w:val="clear" w:color="auto" w:fill="FFFFFF"/>
        </w:rPr>
        <w:t>崇阳浪口省级湿地自然公园</w:t>
      </w:r>
      <w:r>
        <w:rPr>
          <w:rFonts w:ascii="仿宋" w:hAnsi="仿宋" w:eastAsia="仿宋" w:cs="仿宋_GB2312"/>
          <w:kern w:val="0"/>
          <w:szCs w:val="32"/>
          <w:u w:val="none"/>
          <w:shd w:val="clear" w:color="auto" w:fill="FFFFFF"/>
        </w:rPr>
        <w:t>。</w:t>
      </w:r>
      <w:r>
        <w:rPr>
          <w:rFonts w:hint="eastAsia" w:ascii="仿宋" w:hAnsi="仿宋" w:eastAsia="仿宋" w:cs="仿宋_GB2312"/>
          <w:kern w:val="0"/>
          <w:szCs w:val="32"/>
          <w:u w:val="none"/>
          <w:shd w:val="clear" w:color="auto" w:fill="FFFFFF"/>
        </w:rPr>
        <w:t>对管理名录的自然景观资源落实保护范围和空间管控要求，进行严格保护，维护好湖北特色的荆楚魅力山水资源。</w:t>
      </w:r>
    </w:p>
    <w:p w14:paraId="06D49C2C">
      <w:pPr>
        <w:pStyle w:val="4"/>
        <w:ind w:firstLine="640"/>
      </w:pPr>
      <w:r>
        <w:rPr>
          <w:rFonts w:hint="eastAsia"/>
        </w:rPr>
        <w:t>自然保护地管控要求</w:t>
      </w:r>
    </w:p>
    <w:p w14:paraId="1279DFD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自然保护地按照分级分类管控，加快构</w:t>
      </w:r>
      <w:r>
        <w:rPr>
          <w:rFonts w:hint="eastAsia" w:ascii="仿宋" w:hAnsi="仿宋" w:eastAsia="仿宋" w:cs="仿宋_GB2312"/>
          <w:kern w:val="0"/>
          <w:szCs w:val="32"/>
          <w:shd w:val="clear" w:color="auto" w:fill="FFFFFF"/>
        </w:rPr>
        <w:t>建以国家公园为主体、自然保护区为基础、各类自然公园为补充的自然保护地体系。</w:t>
      </w:r>
      <w:r>
        <w:rPr>
          <w:rFonts w:ascii="仿宋" w:hAnsi="仿宋" w:eastAsia="仿宋" w:cs="仿宋_GB2312"/>
          <w:kern w:val="0"/>
          <w:szCs w:val="32"/>
          <w:shd w:val="clear" w:color="auto" w:fill="FFFFFF"/>
        </w:rPr>
        <w:t>加强生态保护地管理，以自然保护地一般控制区为基础，纳入饮用水源保护区、公益林及湿地等受保护区域，不得在自然保护地内建立耕地后备资源或建立基本农田储备区。</w:t>
      </w:r>
    </w:p>
    <w:p w14:paraId="2A43ADA9">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自然保护区内严格保护生态系统和生境，避免人为破坏，保持良好的自然特征。维持保护物种种群的正常生存和繁衍，维护遗迹保存度，限制缓冲人为活动，保持生态系统在全球或在国内所属生物气候带中的代表性和典型性，确保国家重点保护野生动物、植物的天然集中分布。</w:t>
      </w:r>
    </w:p>
    <w:p w14:paraId="1222334F">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自然公园需保持自然生态系统典型性、生态功能重要性、生态修复模式示范性，维持自然资源珍贵、自然景观优美。确保自然区域的重要或特殊科学研究、宣传教育和历史文化价值，保留可追溯的地质历史和科学价值。</w:t>
      </w:r>
    </w:p>
    <w:p w14:paraId="201F4722">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加强自然保护地监测、评估、考核、执法、监督制度建设，深入推进“绿盾”专项行动，强化对各类国家级自然保护地和重点区域自然保护地的监督检查，保障自然保护地保护目标实现。全面提升自然保护地管理能力，健全自然保护地基本信息库，实施自然保护地分类分级分区管控，制定自然保护地内建设项目负面清单，推进保护区勘界立标，完善科教研设施、应急防灾设施、基础设施等体系</w:t>
      </w:r>
      <w:r>
        <w:rPr>
          <w:rFonts w:ascii="仿宋" w:hAnsi="仿宋" w:eastAsia="仿宋" w:cs="仿宋_GB2312"/>
          <w:kern w:val="0"/>
          <w:szCs w:val="32"/>
          <w:u w:val="none"/>
          <w:shd w:val="clear" w:color="auto" w:fill="FFFFFF"/>
        </w:rPr>
        <w:t>。</w:t>
      </w:r>
    </w:p>
    <w:p w14:paraId="39210973">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661" w:name="_Toc19638"/>
      <w:r>
        <w:rPr>
          <w:rFonts w:hint="eastAsia" w:ascii="黑体" w:hAnsi="黑体" w:cs="黑体"/>
          <w:bCs w:val="0"/>
        </w:rPr>
        <w:t>第二节 生态空间格局</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14:paraId="756CB08F">
      <w:pPr>
        <w:pStyle w:val="4"/>
        <w:ind w:firstLine="640"/>
      </w:pPr>
      <w:r>
        <w:rPr>
          <w:rFonts w:hint="eastAsia"/>
        </w:rPr>
        <w:t>锚固崇阳县“两心两屏三廊四板块”的生态保护格局</w:t>
      </w:r>
    </w:p>
    <w:p w14:paraId="09EADBC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大力实施美丽崇阳战略，整体提升支点的生态承载能力，严守生态保护红线和山水林田湖草生态本底。根据崇阳的自然生态特征和生态保护任务要求，构建以“两心两屏三廊四板块”为主体的，连续、完整、系统的生态保护格局。</w:t>
      </w:r>
    </w:p>
    <w:p w14:paraId="01D045E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“两心”：依托湖北崇阳国家森林自然公园、湖北崇阳青山国家湿地自然公园，建设成为崇阳县最具生态价值的生态核心。</w:t>
      </w:r>
    </w:p>
    <w:p w14:paraId="70DA50A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两屏”：即幕阜山区生态屏障及大幕山生态屏障。幕阜山片区、大幕山片区具有水源涵养、水土保持、生物多样性保护和气候调节等多重重要生态功能，建设生态安全屏障是维护长江中游地区乃至国家生态安全的战略需要。</w:t>
      </w:r>
    </w:p>
    <w:p w14:paraId="493A3D4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“三廊”：以隽水河、高堤河、青山河为主要生态廊道，连接区域生态屏障，串接重要生态保护节点，形成全域贯通的生态体系格局。</w:t>
      </w:r>
    </w:p>
    <w:p w14:paraId="3F191A9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四板块”：崇阳县生态景观资源丰富，加强路口桂花森林自然公园版块、沙坪镇鹭鸟森林自然公园版块、金塘野生桂花蜜源森林自然公园版块、金沙森林自然公园版块四大版块的森林资源和生物多样性的保护力度。</w:t>
      </w:r>
    </w:p>
    <w:p w14:paraId="3031F16E">
      <w:pPr>
        <w:pStyle w:val="4"/>
        <w:ind w:firstLine="640"/>
      </w:pPr>
      <w:bookmarkStart w:id="662" w:name="_Toc138866755"/>
      <w:r>
        <w:rPr>
          <w:rFonts w:hint="eastAsia"/>
        </w:rPr>
        <w:t>强化生态廊道保护</w:t>
      </w:r>
      <w:bookmarkEnd w:id="662"/>
    </w:p>
    <w:p w14:paraId="387EB9B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建立连通全域森林、湿地、公园和保护区等的生态廊道系统，明确生态廊道类型、范围与布局，提出重点项目和保护指引。确定隽水河、青山河、高堤河</w:t>
      </w:r>
      <w:r>
        <w:rPr>
          <w:rFonts w:ascii="Times New Roman" w:hAnsi="Times New Roman" w:eastAsia="仿宋"/>
          <w:kern w:val="0"/>
          <w:szCs w:val="32"/>
          <w:shd w:val="clear" w:color="auto" w:fill="FFFFFF"/>
        </w:rPr>
        <w:t>3</w:t>
      </w:r>
      <w:r>
        <w:rPr>
          <w:rFonts w:ascii="仿宋" w:hAnsi="仿宋" w:eastAsia="仿宋" w:cs="仿宋_GB2312"/>
          <w:kern w:val="0"/>
          <w:szCs w:val="32"/>
          <w:shd w:val="clear" w:color="auto" w:fill="FFFFFF"/>
        </w:rPr>
        <w:t>条主要廊道，将大市河、河田港、香山港、东堡港、高枧港、虎爪河、桂口港、泉湖港、台山港、杨林港、梓木港及崇阳港等次要生态廊道。</w:t>
      </w:r>
    </w:p>
    <w:p w14:paraId="6730481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重点针对生态廊道进行河库复苏行动，进一步排查确定断流河流、萎缩干枯河库复苏名录，根据水源、自然、工程等条件，因地制宜制定“一河一策”复苏方案，通过强化上下游、左右岸综合保护治理、水土流失防治和生态补水，保护生态廊道。</w:t>
      </w:r>
    </w:p>
    <w:p w14:paraId="094DC301">
      <w:pPr>
        <w:pStyle w:val="4"/>
        <w:ind w:firstLine="640"/>
      </w:pPr>
      <w:bookmarkStart w:id="663" w:name="_Toc138866756"/>
      <w:r>
        <w:rPr>
          <w:rFonts w:hint="eastAsia"/>
        </w:rPr>
        <w:t>促进生物多样性发展</w:t>
      </w:r>
      <w:bookmarkEnd w:id="663"/>
    </w:p>
    <w:p w14:paraId="34133FB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以崇阳县域自然保护地为重点，提升自然保护地管理水平。加强森林生态系统、湿地生态保护与修复，加快水涵养林和水土保持林建设，重点保护青山湿地公园，实施湿地生物多样性保护及栖息地恢复工程，建立野生动植物自然保护区，重点保护境内分布与栖息的国家Ⅰ、Ⅱ级和省级重点保护的野生动植物和具有重要生态、经济价值的地方物种。</w:t>
      </w:r>
    </w:p>
    <w:p w14:paraId="0C1DF10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对境内珍稀濒危野生动植物实施拯救与保护工程，通过采取异位保存、原生境保护、加大宣传力度等措施，扩大其种群数量，确保其生存和繁衍。开展珍稀濒危野生动植物种群调查，通过新建、扩建、改建自然保护地和种质库、种植圃、养殖小区，实施珍稀濒危野生动植物拯救工程。提高濒危物种资源监测、鉴定、救护和贸易管理能力，严厉打击环境犯罪，特别是走私和贩卖珍稀、濒危动植物种及其制成品。</w:t>
      </w:r>
    </w:p>
    <w:p w14:paraId="46628E9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严格按照《外来入侵物种管理办法》要求，强化外来生物入侵及生物安全管理，从境外引进的农作物、林草种子苗木、水产苗种等外来物种，必须依据审批权限办理进口审批与检疫审批。首次引进的物种，引进单位需要进行风险分析，并向审批部门提交风险评估报告。</w:t>
      </w:r>
    </w:p>
    <w:p w14:paraId="68F711A7">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664" w:name="_Toc10841"/>
      <w:bookmarkStart w:id="665" w:name="_Toc9706"/>
      <w:bookmarkStart w:id="666" w:name="_Toc7204"/>
      <w:bookmarkStart w:id="667" w:name="_Toc15860"/>
      <w:bookmarkStart w:id="668" w:name="_Toc21500"/>
      <w:bookmarkStart w:id="669" w:name="_Toc14846"/>
      <w:bookmarkStart w:id="670" w:name="_Toc7720"/>
      <w:bookmarkStart w:id="671" w:name="_Toc10498"/>
      <w:bookmarkStart w:id="672" w:name="_Toc16193"/>
      <w:bookmarkStart w:id="673" w:name="_Toc138866988"/>
      <w:bookmarkStart w:id="674" w:name="_Toc12452"/>
      <w:bookmarkStart w:id="675" w:name="_Toc31664"/>
      <w:bookmarkStart w:id="676" w:name="_Toc27348"/>
      <w:bookmarkStart w:id="677" w:name="_Toc16991"/>
      <w:bookmarkStart w:id="678" w:name="_Toc22412"/>
      <w:bookmarkStart w:id="679" w:name="_Toc26033"/>
      <w:bookmarkStart w:id="680" w:name="_Toc21967"/>
      <w:bookmarkStart w:id="681" w:name="_Toc13458"/>
      <w:bookmarkStart w:id="682" w:name="_Toc138866761"/>
      <w:bookmarkStart w:id="683" w:name="_Toc4115"/>
      <w:bookmarkStart w:id="684" w:name="_Toc5777"/>
      <w:r>
        <w:rPr>
          <w:rFonts w:hint="eastAsia" w:ascii="黑体" w:hAnsi="黑体" w:cs="黑体"/>
          <w:bCs w:val="0"/>
        </w:rPr>
        <w:t>第三节 统筹自然资源保护与利用</w:t>
      </w:r>
      <w:bookmarkEnd w:id="664"/>
    </w:p>
    <w:p w14:paraId="2040E7AC">
      <w:pPr>
        <w:pStyle w:val="4"/>
        <w:ind w:firstLine="640"/>
      </w:pPr>
      <w:bookmarkStart w:id="685" w:name="_Toc20245"/>
      <w:bookmarkStart w:id="686" w:name="_Toc12791"/>
      <w:bookmarkStart w:id="687" w:name="_Toc26510"/>
      <w:bookmarkStart w:id="688" w:name="_Toc19486"/>
      <w:r>
        <w:rPr>
          <w:rFonts w:hint="eastAsia"/>
        </w:rPr>
        <w:t>水资源保护和利用</w:t>
      </w:r>
    </w:p>
    <w:p w14:paraId="6612D77C">
      <w:pPr>
        <w:widowControl/>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lang w:bidi="ar"/>
        </w:rPr>
        <w:t>优化水资源配置。坚持以水定城、以水定地、以水定人、以水定产，立足崇阳县水资源承载能力和经济社会发展总目标，合理控制用水总量。优化用水结构，按照生活、生产、生态梯度，优先保障生活用水安全，优化用水结构，实现水资源可持续利用，支撑经济社会可持续发展。优化水资源配置，以全县水资源可利用量作为水资源配置的基础，按照优水优用，先地表后地下，优先利用非常规水源的原则提出水资源配置方案。</w:t>
      </w:r>
    </w:p>
    <w:p w14:paraId="53437E8F">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lang w:bidi="ar"/>
        </w:rPr>
        <w:t>水环境综合治理与保护修复。</w:t>
      </w:r>
      <w:r>
        <w:rPr>
          <w:rFonts w:ascii="仿宋" w:hAnsi="仿宋" w:eastAsia="仿宋" w:cs="仿宋_GB2312"/>
          <w:kern w:val="0"/>
          <w:szCs w:val="32"/>
          <w:shd w:val="clear" w:color="auto" w:fill="FFFFFF"/>
        </w:rPr>
        <w:t>河流水系综合整治。分区分段落实崇阳县水功能区划、水资源保护与利用要求，采取河道整治和污染源管控相结合的方式，提升河流水系综合整治效果。</w:t>
      </w:r>
    </w:p>
    <w:p w14:paraId="29F08AF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u w:val="none"/>
          <w:shd w:val="clear" w:color="auto" w:fill="FFFFFF"/>
        </w:rPr>
        <w:t>加强“崇山隽水”综合治理。重点推进隽水河、高堤河、青山河、大市河、虎爪河等河港生态综合治理项目，进行河道综合整治，改善河道排水条件。</w:t>
      </w:r>
      <w:r>
        <w:rPr>
          <w:rFonts w:hint="eastAsia" w:ascii="仿宋" w:hAnsi="仿宋" w:eastAsia="仿宋" w:cs="仿宋_GB2312"/>
          <w:kern w:val="0"/>
          <w:szCs w:val="32"/>
          <w:shd w:val="clear" w:color="auto" w:fill="FFFFFF"/>
        </w:rPr>
        <w:t>结合河道整治、驳岸处理、绿道和生态景观节点建设</w:t>
      </w:r>
      <w:r>
        <w:rPr>
          <w:rFonts w:ascii="仿宋" w:hAnsi="仿宋" w:eastAsia="仿宋" w:cs="仿宋_GB2312"/>
          <w:kern w:val="0"/>
          <w:szCs w:val="32"/>
          <w:shd w:val="clear" w:color="auto" w:fill="FFFFFF"/>
        </w:rPr>
        <w:t>。</w:t>
      </w:r>
    </w:p>
    <w:p w14:paraId="067479B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水污染管控。逐步减少隽水河流域污染源排放，开展岸线清理整治以及入河排污口排查整治行动，推进生活污水处理设施建设，整顿排污口等污染源。结合水污染防治，全面开展区域内重点流域的农村环境综合整治工作，深入控制农业面源污染，建设生态沟渠、污水净化塘、地表径流集蓄池等农业排水设施，推进农村饮用水水源地保护、农村生活污水处理，以及农药化肥等面源污染综合防治工作。</w:t>
      </w:r>
    </w:p>
    <w:p w14:paraId="14BEA45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强化水源地保护。构建水资源安全保障的总体格局。依托崇阳县水资源条件，以水资源可持续利用保障经济社会可持续发展为目标，遵从“三条红线”控制要求，推进水资源保护和水库建设，加大再生利用，持续优化水资源配置格局，满足崇阳县水资源未来发展需求。划定水源地保护区，一级保护区内不得从事一切可能污染水源的活动，二级保护区内不得排入工业废水和生活污水。</w:t>
      </w:r>
      <w:r>
        <w:rPr>
          <w:rFonts w:hint="eastAsia" w:ascii="仿宋" w:hAnsi="仿宋" w:eastAsia="仿宋" w:cs="仿宋_GB2312"/>
          <w:kern w:val="0"/>
          <w:szCs w:val="32"/>
          <w:u w:val="none"/>
          <w:shd w:val="clear" w:color="auto" w:fill="FFFFFF"/>
        </w:rPr>
        <w:t>确保集中式饮用水源地水质达标率达到</w:t>
      </w:r>
      <w:r>
        <w:rPr>
          <w:rFonts w:ascii="Times New Roman" w:hAnsi="Times New Roman" w:eastAsia="仿宋"/>
          <w:kern w:val="0"/>
          <w:szCs w:val="32"/>
          <w:u w:val="none"/>
          <w:shd w:val="clear" w:color="auto" w:fill="FFFFFF"/>
        </w:rPr>
        <w:t>100</w:t>
      </w:r>
      <w:r>
        <w:rPr>
          <w:rFonts w:hint="eastAsia" w:ascii="仿宋" w:hAnsi="仿宋" w:eastAsia="仿宋" w:cs="仿宋_GB2312"/>
          <w:kern w:val="0"/>
          <w:szCs w:val="32"/>
          <w:u w:val="none"/>
          <w:shd w:val="clear" w:color="auto" w:fill="FFFFFF"/>
        </w:rPr>
        <w:t>%。</w:t>
      </w:r>
    </w:p>
    <w:p w14:paraId="7D7240C7">
      <w:pPr>
        <w:widowControl/>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rPr>
        <w:t>提升水体环境质量。规划至</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年，陆水河崇阳段及青山水库总体水质为优，集中式饮用水水源地水质达标率、地表水环境功能区达标率均为</w:t>
      </w:r>
      <w:r>
        <w:rPr>
          <w:rFonts w:ascii="Times New Roman" w:hAnsi="Times New Roman" w:eastAsia="仿宋"/>
          <w:kern w:val="0"/>
          <w:szCs w:val="32"/>
          <w:shd w:val="clear" w:color="auto" w:fill="FFFFFF"/>
        </w:rPr>
        <w:t>100</w:t>
      </w:r>
      <w:r>
        <w:rPr>
          <w:rFonts w:ascii="仿宋" w:hAnsi="仿宋" w:eastAsia="仿宋" w:cs="仿宋_GB2312"/>
          <w:kern w:val="0"/>
          <w:szCs w:val="32"/>
          <w:shd w:val="clear" w:color="auto" w:fill="FFFFFF"/>
        </w:rPr>
        <w:t>%。加强陆水流域崇阳段水环境管理，确保</w:t>
      </w:r>
      <w:r>
        <w:rPr>
          <w:rFonts w:ascii="Times New Roman" w:hAnsi="Times New Roman" w:eastAsia="仿宋"/>
          <w:kern w:val="0"/>
          <w:szCs w:val="32"/>
          <w:shd w:val="clear" w:color="auto" w:fill="FFFFFF"/>
        </w:rPr>
        <w:t>8</w:t>
      </w:r>
      <w:r>
        <w:rPr>
          <w:rFonts w:ascii="仿宋" w:hAnsi="仿宋" w:eastAsia="仿宋" w:cs="仿宋_GB2312"/>
          <w:kern w:val="0"/>
          <w:szCs w:val="32"/>
          <w:shd w:val="clear" w:color="auto" w:fill="FFFFFF"/>
        </w:rPr>
        <w:t>个水质监测断面（国控、省控和市控）水质优良率达到</w:t>
      </w:r>
      <w:r>
        <w:rPr>
          <w:rFonts w:ascii="Times New Roman" w:hAnsi="Times New Roman" w:eastAsia="仿宋"/>
          <w:kern w:val="0"/>
          <w:szCs w:val="32"/>
          <w:shd w:val="clear" w:color="auto" w:fill="FFFFFF"/>
        </w:rPr>
        <w:t>100</w:t>
      </w:r>
      <w:r>
        <w:rPr>
          <w:rFonts w:ascii="仿宋" w:hAnsi="仿宋" w:eastAsia="仿宋" w:cs="仿宋_GB2312"/>
          <w:kern w:val="0"/>
          <w:szCs w:val="32"/>
          <w:shd w:val="clear" w:color="auto" w:fill="FFFFFF"/>
        </w:rPr>
        <w:t>%。</w:t>
      </w:r>
      <w:r>
        <w:rPr>
          <w:rFonts w:ascii="仿宋" w:hAnsi="仿宋" w:eastAsia="仿宋" w:cs="仿宋_GB2312"/>
          <w:kern w:val="0"/>
          <w:szCs w:val="32"/>
          <w:shd w:val="clear" w:color="auto" w:fill="FFFFFF"/>
          <w:lang w:bidi="ar"/>
        </w:rPr>
        <w:t>持续深化水生态治理，建立水资源刚性约束制度，确立水资源刚性约束制度，构建流域生态环境资源承载能力监测预警管理系统。统筹水资源、水生态和水环境监测评价体系，对流域开展水生态完整性评价，促进水生态恢复，确保水环境质量只能变好、不能变坏。依托排污许可证信息，建立“水体-入河排污口-排污管线-污染源”全链条管理的水污染物排放治理体系。</w:t>
      </w:r>
    </w:p>
    <w:p w14:paraId="344DC07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实施流域水生态系统修复。</w:t>
      </w:r>
      <w:r>
        <w:rPr>
          <w:rFonts w:ascii="仿宋" w:hAnsi="仿宋" w:eastAsia="仿宋" w:cs="仿宋_GB2312"/>
          <w:kern w:val="0"/>
          <w:szCs w:val="32"/>
          <w:shd w:val="clear" w:color="auto" w:fill="FFFFFF"/>
          <w:lang w:bidi="ar"/>
        </w:rPr>
        <w:t>以自我恢复为主，人工干预为辅，恢复流域以水生植被为主的生态系统，缓解目前存在的水质恶化问题。以挺水植物菰、野莲，浮叶根生植物菱、荇菜，沉水植物狐尾藻、苦草、轮叶黑藻等本土物种为基础，提高水体健康水生生态系统自我修复和恢复能力。对环境条件充分调查和评估的基础上，选择适当的人工辅助措施，加快水生植被系统恢复速率。</w:t>
      </w:r>
    </w:p>
    <w:p w14:paraId="3DA563C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强化水资源集约利用。强化用水总量控制、用水效率控制、水功能区限制纳污“三条红线”约束，继续实施水资源消耗总量和强度“双控达标”行动，实行最严格的水资源管理制度。通过产业结构调整、用水工艺改进、节水器具、推广节约用水。推广再生水回用，鼓励雨水利用。每万元国内生产总值水耗依据上级下达任务确定。工业节水。完善供用水计量体系和在线监测系统，强化生产用水管理。大力推广高效冷却、洗涤、循环用水、废污水再生利用、高耗水生产工艺替代等节水工艺和技术。严格计划用水管理，加强生产用水过程控制，推动企业通过循环用水、分质供水、再生水利用等措施，挖掘节水潜力，降低用水消耗，提升用水效率。农业节水。加快灌区续建配套和现代化改造，分区域规模化推进高效节水灌溉。开展农业用水精细化管理，科学合理确定灌溉定额，推进灌溉试验及成果转化。结合实施乡村振兴战略和新型城镇化建设，继续推动乡村供水设施及管网建设与改造，进一步提高集中供水率、自来水普及率、供水保证率和水质达标率。</w:t>
      </w:r>
    </w:p>
    <w:p w14:paraId="390D187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镇生活节水。加强供水管网漏损监管，有效降低供水管网漏损率。大力开展节水型单位、学校、社区、企业创建工作，不断扩大节水载体覆盖面，充分发挥节水载体示范方带头作用，带动全社会节水。公共机构开展供水管网、绿化浇灌系统等节水诊断，推广应用节水新技术、新工艺和新产品，提高节水器具使用率。非常规水源利用。加强地下水管理保护，采取强化节水、置换水源、禁采限采、关井压田等措施，压减地下水开采量。合理利用再生水，提升非常规水利用率，严禁盲目扩大景观、娱乐水域面积，工业生产、城市绿化、道路清扫、车辆冲洗、建筑施工及生态用水等领域优先使用非常规水。加强雨水利用，新建小区、公共建筑、城市道路、公共绿地等因地制宜配套建设雨水净化、渗透和收集利用系统。</w:t>
      </w:r>
    </w:p>
    <w:p w14:paraId="2AE4A6CF">
      <w:pPr>
        <w:widowControl/>
        <w:spacing w:line="560" w:lineRule="exact"/>
        <w:ind w:firstLine="640"/>
        <w:jc w:val="both"/>
        <w:rPr>
          <w:rFonts w:ascii="仿宋" w:hAnsi="仿宋" w:eastAsia="仿宋" w:cs="仿宋_GB2312"/>
          <w:kern w:val="0"/>
          <w:szCs w:val="32"/>
          <w:shd w:val="clear" w:color="auto" w:fill="FFFFFF"/>
        </w:rPr>
      </w:pPr>
      <w:bookmarkStart w:id="689" w:name="OLE_LINK48"/>
      <w:bookmarkStart w:id="690" w:name="OLE_LINK49"/>
      <w:r>
        <w:rPr>
          <w:rFonts w:ascii="仿宋" w:hAnsi="仿宋" w:eastAsia="仿宋" w:cs="仿宋_GB2312"/>
          <w:kern w:val="0"/>
          <w:szCs w:val="32"/>
          <w:shd w:val="clear" w:color="auto" w:fill="FFFFFF"/>
        </w:rPr>
        <w:t>完善水环境分区。实施以控制单元为基础的水环境质量管理，按照水陆统筹、完整唯一、精细化原则，分区分类推进水环境保护。根据汇水单元，将崇阳县内水环境划分为水环境优先保护区、水环境重点管控区和一般管控区。</w:t>
      </w:r>
    </w:p>
    <w:bookmarkEnd w:id="689"/>
    <w:bookmarkEnd w:id="690"/>
    <w:p w14:paraId="77AEC67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提高水资源利用效率。优化用水结构，按照工农业用水负增长、生活用水控制增长、生态用水适度增长的原则，加强节水管控，提高水资源综合利用效率和工业用水重复利用率，形成与社会、经济发展相匹配的用水结构。强化水资源监测体系建设。建立水质保护与排污总量控制实时监控管理系统，加强水功能区的水质监测和入河排污口污染物监测，优化监测布局，完善预警体系。加强工业用水、生活取水、农业用水的监测能力，提升用水效率。</w:t>
      </w:r>
    </w:p>
    <w:p w14:paraId="30C0296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河库水面资源管控。保护自然水域、坑塘等蓝色空间，坚持保护与防治相结合，以隽水河为主脉，加强水系连通。加强水域岸线生态空间管控，严禁非法侵占河道、水库等。加强湿地资源利用管控。严格落实总量控制与限额使用、依法占用、占补平衡、生态补偿等湿地管理制度，确保崇阳县湿地面积不减少、质量不降低。建立湿地生态环境监测网络，监测湿地生态环境动态变化。</w:t>
      </w:r>
    </w:p>
    <w:p w14:paraId="120557F2">
      <w:pPr>
        <w:pStyle w:val="4"/>
        <w:ind w:firstLine="640"/>
        <w:rPr>
          <w:lang w:bidi="ar"/>
        </w:rPr>
      </w:pPr>
      <w:r>
        <w:rPr>
          <w:rFonts w:hint="eastAsia"/>
          <w:lang w:bidi="ar"/>
        </w:rPr>
        <w:t>湿地资源保护与利用</w:t>
      </w:r>
    </w:p>
    <w:p w14:paraId="295AA90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实施湿地资源总量管理，加强以内陆滩涂为主的湿地保护，同步加强关联水资源的协同保护，稳定湿地面积。维护湿地系统的基本生态功能，确保湿地面积不减少，功能不衰退。至</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全县湿地保护率依据上级下达任务确定。健全湿地保护体系，不断提升湿地质量。按照重要湿地和一般湿地保护体系，逐步划定并公布湿地名录，建立以湿地公园、湿地保护区为主，其他湿地保护形式为辅的保护体系。以湖北崇阳青山国家湿地自然公园、崇阳浪口省级湿地自然公园为重点区域，依托河流水系廊道，打造自然和人工湿地保护节点，开展退化湿地修复、湿地植被修复，改善湿地生态质量，增强湿地生态功能，探索推进湿地资源可持续发展。</w:t>
      </w:r>
    </w:p>
    <w:p w14:paraId="20DD4737">
      <w:pPr>
        <w:pStyle w:val="4"/>
        <w:ind w:firstLine="640"/>
      </w:pPr>
      <w:r>
        <w:rPr>
          <w:rFonts w:hint="eastAsia"/>
        </w:rPr>
        <w:t>森林资源保护与利用</w:t>
      </w:r>
    </w:p>
    <w:p w14:paraId="7F6E1D3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保护森林资源。以公益林、天然林保护为重点，竹林地、野樱等为特色，严格控制林地转为非林地，加强古树保护和森林防火，全面推进崇阳县森林资源保护。规划至</w:t>
      </w:r>
      <w:r>
        <w:rPr>
          <w:rFonts w:ascii="Times New Roman" w:hAnsi="Times New Roman" w:eastAsia="仿宋"/>
          <w:kern w:val="0"/>
          <w:szCs w:val="32"/>
          <w:shd w:val="clear" w:color="auto" w:fill="FFFFFF"/>
        </w:rPr>
        <w:t>2025</w:t>
      </w:r>
      <w:r>
        <w:rPr>
          <w:rFonts w:ascii="仿宋" w:hAnsi="仿宋" w:eastAsia="仿宋" w:cs="仿宋_GB2312"/>
          <w:kern w:val="0"/>
          <w:szCs w:val="32"/>
          <w:shd w:val="clear" w:color="auto" w:fill="FFFFFF"/>
        </w:rPr>
        <w:t>年和</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年森林覆盖率依据上级下达任务确定。</w:t>
      </w:r>
    </w:p>
    <w:p w14:paraId="6E158F8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严格划定天然林和公益林集中保护区。加强天然林和公益林资源保护。坚持全面保护与重点利用相结合，依托城乡绿化区、自然保护地等点状森林生态系统，重要交通、水系两侧防护林等带状森林系统，构建“点”、“线”、“面”结合的森林生态网络，划定为天然林集中保护区。在天然林集中保护区内，采取封山育林等措施，禁止或减少人为活动的干扰。在饮用水水源保护区、重要湿地水库周围、河道两岸，水土流失严重等地区划定生态公益林集中保护区。任何单位和个人不得非法占用生态公益林林地，不得将生态公益林地改作商品林或其他林地或者其他用地。</w:t>
      </w:r>
    </w:p>
    <w:p w14:paraId="76CF714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山体保护与利用。以生态保护红线为基础，对幕阜山区域、大幕山区域实施分区管控与合理利用。以方山、葛仙山、五尖山等大幕山区域大型山体，实施山体生态修复，适度发展生态旅游、清洁能源产业。以大湖山、白崖山等幕阜山区域大型山体；突出山林植被和生态景观建设，保持山体自然风光特色，于主要山体实施山体生态修复，适度发展生态旅游、清洁能源、特色农产品种植产业。加强山体保护与城市建设的协调；在城镇开发边界内因地制宜预留小型山体作为公共空间。加强山体生态本底保护和完善。保证山体植被的完整性，延续山体边缘农林交织，山顶以林地为主的本底特征，强化山体在城市生态环境调节、改善生活环境和保持文化特色方面的作用。加强山体形态保护，控制山体周边、山麓地带的开发强度及建设类型，保证山体与开放空间的视线通透，在下位规划中划定山体形态控制线。</w:t>
      </w:r>
    </w:p>
    <w:p w14:paraId="77025F4D">
      <w:pPr>
        <w:pStyle w:val="4"/>
        <w:ind w:firstLine="640"/>
      </w:pPr>
      <w:r>
        <w:rPr>
          <w:rFonts w:hint="eastAsia"/>
        </w:rPr>
        <w:t>矿产资源保护与利用</w:t>
      </w:r>
    </w:p>
    <w:p w14:paraId="09AE6C4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矿产资源保护与利用目标。坚持以绿色发展为目标，优化县域矿产资源勘查与开发布局。加强重点矿种和急需矿种的勘查，加快矿业转型升级步伐，与主体功能分区统筹协调。提高资源节约集约利用水平，推动矿业绿色发展，努力实现矿山和绿水青山有机统一。</w:t>
      </w:r>
    </w:p>
    <w:p w14:paraId="7291555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落实国家、省能源基地和规划矿区。加强该区域内矿产的勘查与开发利用，重视地下热水、矿泉水及建材类非金属矿产的勘查与开发。采矿权投放时序和数量原则上在采矿权总数不突破规划调控指标的前提下，分年度安排，主要以减一增一的方式投放新设采矿权，采矿权投放数量需控制。</w:t>
      </w:r>
    </w:p>
    <w:p w14:paraId="18CB9B1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矿产资源管控。禁止在城市建设用地范围、重要基础设施周边、集中式饮用水源地一级保护区范围内开展矿产资源开发活动。自然保护区、风景名胜区内禁止开矿。矿产资源勘查开发需与自然保护地管控要求的衔接，强化开采规模准入管理，提高规模化集约化开采水平，推进矿山规模化发展，促进矿产资源优势向经济优势转变。拟设立矿业权区域需协调好与生态保护红线、永久基本农田红线、公益林的关系，禁止采矿用地占用耕地、林地。强化底线约束，将“三条控制线”作为不可逾越的红线，实施严格边界管控。按照优化保障国家生态安全、国土安全的要求，以资源环境承载能力和国土空间开发适宜性评价为基础，矿产资源开发合理避让“三条控制线”、生态功能区、公路、铁路、重大建设项目压覆等范围。</w:t>
      </w:r>
    </w:p>
    <w:bookmarkEnd w:id="685"/>
    <w:bookmarkEnd w:id="686"/>
    <w:bookmarkEnd w:id="687"/>
    <w:bookmarkEnd w:id="688"/>
    <w:p w14:paraId="422917C1">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691" w:name="_Toc656"/>
      <w:bookmarkStart w:id="692" w:name="_Toc12728"/>
      <w:bookmarkStart w:id="693" w:name="_Toc18819"/>
      <w:bookmarkStart w:id="694" w:name="_Toc21096"/>
      <w:bookmarkStart w:id="695" w:name="_Toc6471"/>
      <w:r>
        <w:rPr>
          <w:rFonts w:hint="eastAsia" w:ascii="黑体" w:hAnsi="黑体" w:cs="黑体"/>
          <w:bCs w:val="0"/>
        </w:rPr>
        <w:t>第四节 加强山水林田湖草治理修复</w:t>
      </w:r>
      <w:bookmarkEnd w:id="691"/>
    </w:p>
    <w:p w14:paraId="63296475">
      <w:pPr>
        <w:pStyle w:val="4"/>
        <w:ind w:firstLine="640"/>
      </w:pPr>
      <w:r>
        <w:rPr>
          <w:rFonts w:hint="eastAsia"/>
        </w:rPr>
        <w:t>生态修复总体目标</w:t>
      </w:r>
    </w:p>
    <w:p w14:paraId="1AC1834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到</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崇阳县林地、森林、湿地、物种资源得到全面保护，森林、湿地生态系统更加稳定结构更加合理、功能更加完备，生态服务功能和生态承载力进一步巩固。重要生态系统保育率达标；生物多样性丰富，关键生态系统、生态敏感区和脆弱区以及珍稀濒危和特有物种得到有效保护；河库生态流量充足；推进自然保护地整合优化，生态质量得到全面提升</w:t>
      </w:r>
    </w:p>
    <w:p w14:paraId="07D67B7E">
      <w:pPr>
        <w:pStyle w:val="4"/>
        <w:ind w:firstLine="640"/>
      </w:pPr>
      <w:r>
        <w:rPr>
          <w:rFonts w:hint="eastAsia"/>
        </w:rPr>
        <w:t>加强流域综合治理</w:t>
      </w:r>
    </w:p>
    <w:p w14:paraId="6E13A79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明确水安全底线。遇标准内洪水时，确保堤防、水库等重点水利工程防洪安全和运行安全，保障供水安全和重要河湖生态流量。明确水环境安全底线，保障河湖水质不恶化，确保重点河湖库水质优良率占比不降低。</w:t>
      </w:r>
    </w:p>
    <w:p w14:paraId="0E87B8F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强化小流域综合治理。统筹生产、生活、生态，进一步细化用地分类，建立小流域综合治理条件的土地利用分类标准。统筹推进各类城乡绿色生态基础设施建设，满足环境保护和生态建设需求。</w:t>
      </w:r>
    </w:p>
    <w:p w14:paraId="1F4B7DCB">
      <w:pPr>
        <w:pStyle w:val="4"/>
        <w:ind w:firstLine="640"/>
      </w:pPr>
      <w:r>
        <w:rPr>
          <w:rFonts w:hint="eastAsia"/>
        </w:rPr>
        <w:t>生态修复重点区域</w:t>
      </w:r>
    </w:p>
    <w:p w14:paraId="7ECD0DD0">
      <w:pPr>
        <w:widowControl/>
        <w:spacing w:line="560" w:lineRule="exact"/>
        <w:ind w:firstLine="640"/>
        <w:jc w:val="both"/>
        <w:rPr>
          <w:rFonts w:ascii="仿宋" w:hAnsi="仿宋" w:eastAsia="仿宋" w:cs="仿宋_GB2312"/>
          <w:kern w:val="0"/>
          <w:szCs w:val="32"/>
          <w:u w:val="single"/>
          <w:shd w:val="clear" w:color="auto" w:fill="FFFFFF"/>
        </w:rPr>
      </w:pPr>
      <w:r>
        <w:rPr>
          <w:rFonts w:ascii="仿宋" w:hAnsi="仿宋" w:eastAsia="仿宋" w:cs="仿宋_GB2312"/>
          <w:kern w:val="0"/>
          <w:szCs w:val="32"/>
          <w:shd w:val="clear" w:color="auto" w:fill="FFFFFF"/>
        </w:rPr>
        <w:t>水土流失和石漠化综合治理重点区域。以县域水体沿岸为重点治理区，建立健全水土流失综合防治体系，开展坡耕地、园地、竹林地的全面治理。加强现有植被保护，在宜林荒山荒地、疏林地、灌木林地以及未利用地等地区，新建以水源涵养林与水土保持林为主的生态公益林，重点开展青山河流域等陆水源头集水区水源涵养林建设，提高土壤保水能力</w:t>
      </w:r>
      <w:r>
        <w:rPr>
          <w:rFonts w:hint="eastAsia" w:ascii="仿宋" w:hAnsi="仿宋" w:eastAsia="仿宋" w:cs="仿宋_GB2312"/>
          <w:kern w:val="0"/>
          <w:szCs w:val="32"/>
          <w:shd w:val="clear" w:color="auto" w:fill="FFFFFF"/>
        </w:rPr>
        <w:t>。</w:t>
      </w:r>
    </w:p>
    <w:p w14:paraId="69770FC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强化水生态治理重点区域。完善以河道、堤防、水库为主的流域防洪体系</w:t>
      </w:r>
      <w:r>
        <w:rPr>
          <w:rFonts w:hint="eastAsia" w:ascii="仿宋" w:hAnsi="仿宋" w:eastAsia="仿宋" w:cs="仿宋_GB2312"/>
          <w:kern w:val="0"/>
          <w:szCs w:val="32"/>
          <w:shd w:val="clear" w:color="auto" w:fill="FFFFFF"/>
        </w:rPr>
        <w:t>。</w:t>
      </w:r>
      <w:r>
        <w:rPr>
          <w:rFonts w:ascii="仿宋" w:hAnsi="仿宋" w:eastAsia="仿宋" w:cs="仿宋_GB2312"/>
          <w:kern w:val="0"/>
          <w:szCs w:val="32"/>
          <w:shd w:val="clear" w:color="auto" w:fill="FFFFFF"/>
        </w:rPr>
        <w:t>加强饮用水源地污染防治和生态修复。</w:t>
      </w:r>
    </w:p>
    <w:p w14:paraId="2ECA430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森林生态修复重点区。坚持宜林则林，开展大规模国土绿化行动。结合国土空间开发保护总体格局，重点于南部幕阜山脉及北部大幕山脉区域实施通过集约人工林栽培、补植补造、中幼林抚育、退化林修复等山林植被修复方式。强化重点森林山体的修复和绿化，推进毁损山体的生态修复，通过植被恢复，增强碳汇和生物多样性功能，提升森林生态系统的稳定性和服务功能。</w:t>
      </w:r>
    </w:p>
    <w:p w14:paraId="7B317CE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积极推进湿地生态保护修复。依托河流天然廊道打造自然和人工湿地生态节点，构建“水体－湿地－旱地”自然景观生态格局。开展湿地公园移民搬迁、污染治理、水系及生态修复、基础设施完善、科研监测设施建设、宣传教育设施配置等。以生态措施治理恢复生态脆弱区，净化水质，促进生物多样性保护，形成生物繁衍栖息的适宜环境，恢复湿地的生态系统功能。</w:t>
      </w:r>
    </w:p>
    <w:p w14:paraId="6A2E1B43">
      <w:pPr>
        <w:pStyle w:val="4"/>
        <w:ind w:firstLine="640"/>
      </w:pPr>
      <w:r>
        <w:rPr>
          <w:rFonts w:hint="eastAsia"/>
        </w:rPr>
        <w:t>土壤污染治理与修复</w:t>
      </w:r>
    </w:p>
    <w:p w14:paraId="1A71576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按照“谁污染谁治理，先修复后开发”的原则，开展土壤污染治理修复工作。深入开展地力培肥及退化耕地治理，减少使用农药化肥，提高秸秆、粪污、地膜等农业废弃物循环利用水平，降低农业种植带来的土壤污染风险。推动工业固体废弃物由无害化向资源化利用转变，积极建设危废资源利用处置中心。特别关注重点污染源，及时开展固体废物堆存场所环境综合整治措施，消除土壤环境污染隐患。</w:t>
      </w:r>
    </w:p>
    <w:p w14:paraId="4CB3864A">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696" w:name="_Toc9028"/>
      <w:r>
        <w:rPr>
          <w:rFonts w:hint="eastAsia" w:ascii="黑体" w:hAnsi="黑体" w:cs="黑体"/>
          <w:bCs w:val="0"/>
        </w:rPr>
        <w:t>第五节 提升国土绿化与碳汇能力</w:t>
      </w:r>
      <w:bookmarkEnd w:id="692"/>
      <w:bookmarkEnd w:id="693"/>
      <w:bookmarkEnd w:id="694"/>
      <w:bookmarkEnd w:id="695"/>
      <w:bookmarkEnd w:id="696"/>
    </w:p>
    <w:p w14:paraId="5D07320B">
      <w:pPr>
        <w:pStyle w:val="4"/>
        <w:ind w:firstLine="640"/>
      </w:pPr>
      <w:r>
        <w:rPr>
          <w:rFonts w:hint="eastAsia"/>
        </w:rPr>
        <w:t>强化生态空间绿色碳汇功能</w:t>
      </w:r>
    </w:p>
    <w:p w14:paraId="2453636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强化生态空间碳汇功能。注重碳汇林业发展，通过气候智慧型林业等城郊林业经济发展推动城市碳汇中心和城郊生态屏障建设，以植树造林等方式增强生态系统碳汇捕捉和微气候调节能力，锚固修复，增强三大生态系统的生态净化能力。“绿水青山就是金山银山”，要坚持以美丽湿地行动推进河库湿地生态系统修复、以国土绿化行动推进陆地生态系统修复，锚固自然生态空间本底，统筹山水林田湖草系统治理，增强生态系统的碳捕捉、环境优化、气候调节能力，形成山清水秀、林茂草丰、增绿增汇的绿色国土空间。重点推进湿地公园、城市公园、郊区公园等碳汇中心和城郊生态屏障建设；以河库岸边带、青山绿园、城市道路为载体，建设临水穿城的自然生态廊道和文化休闲漫道。推动绿地的植林化、立体化、乔木化，提高单位绿化面积的碳汇能力。</w:t>
      </w:r>
    </w:p>
    <w:p w14:paraId="277AC49D">
      <w:pPr>
        <w:pStyle w:val="4"/>
        <w:ind w:firstLine="640"/>
      </w:pPr>
      <w:r>
        <w:rPr>
          <w:rFonts w:hint="eastAsia"/>
        </w:rPr>
        <w:t>造林绿化空间</w:t>
      </w:r>
    </w:p>
    <w:p w14:paraId="579E4B1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以第三次国土调查和国土年度变更调查数据为基础，结合崇阳实际情况，坚持宜林则林，科学开展国土绿化行动。将适宜造林绿化空间为基础，有序安排年度造林绿化任务，带位置、带图斑下达，并落实到国土空间</w:t>
      </w:r>
      <w:r>
        <w:rPr>
          <w:rFonts w:hint="eastAsia" w:ascii="仿宋" w:hAnsi="仿宋" w:eastAsia="仿宋" w:cs="仿宋_GB2312"/>
          <w:kern w:val="0"/>
          <w:szCs w:val="32"/>
          <w:shd w:val="clear" w:color="auto" w:fill="FFFFFF"/>
        </w:rPr>
        <w:t>“</w:t>
      </w:r>
      <w:r>
        <w:rPr>
          <w:rFonts w:ascii="仿宋" w:hAnsi="仿宋" w:eastAsia="仿宋" w:cs="仿宋_GB2312"/>
          <w:kern w:val="0"/>
          <w:szCs w:val="32"/>
          <w:shd w:val="clear" w:color="auto" w:fill="FFFFFF"/>
        </w:rPr>
        <w:t>一张图</w:t>
      </w:r>
      <w:r>
        <w:rPr>
          <w:rFonts w:hint="eastAsia" w:ascii="仿宋" w:hAnsi="仿宋" w:eastAsia="仿宋" w:cs="仿宋_GB2312"/>
          <w:kern w:val="0"/>
          <w:szCs w:val="32"/>
          <w:shd w:val="clear" w:color="auto" w:fill="FFFFFF"/>
        </w:rPr>
        <w:t>”</w:t>
      </w:r>
      <w:r>
        <w:rPr>
          <w:rFonts w:ascii="仿宋" w:hAnsi="仿宋" w:eastAsia="仿宋" w:cs="仿宋_GB2312"/>
          <w:kern w:val="0"/>
          <w:szCs w:val="32"/>
          <w:shd w:val="clear" w:color="auto" w:fill="FFFFFF"/>
        </w:rPr>
        <w:t>系统中。</w:t>
      </w:r>
      <w:bookmarkStart w:id="697" w:name="_Toc27052"/>
      <w:bookmarkStart w:id="698" w:name="_Toc4087"/>
      <w:bookmarkStart w:id="699" w:name="_Toc10830"/>
    </w:p>
    <w:p w14:paraId="1554852C">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bookmarkStart w:id="700" w:name="_Toc12023"/>
      <w:bookmarkStart w:id="701" w:name="_Toc4157"/>
      <w:r>
        <w:rPr>
          <w:rFonts w:ascii="黑体" w:hAnsi="黑体" w:eastAsia="黑体" w:cs="方正小标宋_GBK"/>
          <w:bCs w:val="0"/>
          <w:szCs w:val="36"/>
        </w:rPr>
        <w:br w:type="page"/>
      </w:r>
      <w:r>
        <w:rPr>
          <w:rFonts w:hint="eastAsia" w:ascii="黑体" w:hAnsi="黑体" w:eastAsia="黑体" w:cs="方正小标宋_GBK"/>
          <w:bCs w:val="0"/>
          <w:szCs w:val="36"/>
        </w:rPr>
        <w:t>第六章 塑造功能完善的宜人城镇空间</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97"/>
      <w:bookmarkEnd w:id="698"/>
      <w:bookmarkEnd w:id="699"/>
      <w:bookmarkEnd w:id="700"/>
      <w:bookmarkEnd w:id="701"/>
    </w:p>
    <w:p w14:paraId="70F7BAA3">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702" w:name="_Toc1417"/>
      <w:bookmarkStart w:id="703" w:name="_Toc2162"/>
      <w:bookmarkStart w:id="704" w:name="_Toc22580"/>
      <w:bookmarkStart w:id="705" w:name="_Toc138866989"/>
      <w:bookmarkStart w:id="706" w:name="_Toc5421"/>
      <w:bookmarkStart w:id="707" w:name="_Toc29577"/>
      <w:bookmarkStart w:id="708" w:name="_Toc7365"/>
      <w:bookmarkStart w:id="709" w:name="_Toc26367"/>
      <w:bookmarkStart w:id="710" w:name="_Toc16607"/>
      <w:bookmarkStart w:id="711" w:name="_Toc17708"/>
      <w:bookmarkStart w:id="712" w:name="_Toc23232"/>
      <w:bookmarkStart w:id="713" w:name="_Toc8561"/>
      <w:bookmarkStart w:id="714" w:name="_Toc9138"/>
      <w:bookmarkStart w:id="715" w:name="_Toc9683"/>
      <w:bookmarkStart w:id="716" w:name="_Toc3756"/>
      <w:bookmarkStart w:id="717" w:name="_Toc138866762"/>
      <w:bookmarkStart w:id="718" w:name="_Toc9635"/>
      <w:bookmarkStart w:id="719" w:name="_Toc19349"/>
      <w:bookmarkStart w:id="720" w:name="_Toc26145"/>
      <w:bookmarkStart w:id="721" w:name="_Toc6549"/>
      <w:bookmarkStart w:id="722" w:name="_Toc31169"/>
      <w:bookmarkStart w:id="723" w:name="_Toc14967"/>
      <w:bookmarkStart w:id="724" w:name="_Toc22718"/>
      <w:bookmarkStart w:id="725" w:name="_Toc29608"/>
      <w:bookmarkStart w:id="726" w:name="_Toc18859"/>
      <w:r>
        <w:rPr>
          <w:rFonts w:hint="eastAsia" w:ascii="黑体" w:hAnsi="黑体" w:cs="黑体"/>
          <w:bCs w:val="0"/>
        </w:rPr>
        <w:t>第一节 构建合理有序的城镇体系</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14:paraId="47C2946D">
      <w:pPr>
        <w:pStyle w:val="4"/>
        <w:ind w:firstLine="640"/>
      </w:pPr>
      <w:bookmarkStart w:id="727" w:name="_Toc28470"/>
      <w:bookmarkStart w:id="728" w:name="_Toc576"/>
      <w:bookmarkStart w:id="729" w:name="_Toc3002"/>
      <w:bookmarkStart w:id="730" w:name="_Toc17430"/>
      <w:bookmarkStart w:id="731" w:name="_Toc7829"/>
      <w:bookmarkStart w:id="732" w:name="_Toc15890"/>
      <w:bookmarkStart w:id="733" w:name="_Toc8238"/>
      <w:bookmarkStart w:id="734" w:name="_Toc30092"/>
      <w:bookmarkStart w:id="735" w:name="_Toc138428890"/>
      <w:bookmarkStart w:id="736" w:name="_Toc138866763"/>
      <w:bookmarkStart w:id="737" w:name="_Toc18301"/>
      <w:bookmarkStart w:id="738" w:name="_Toc22232"/>
      <w:r>
        <w:rPr>
          <w:rFonts w:hint="eastAsia"/>
        </w:rPr>
        <w:t>城镇空间结构</w:t>
      </w:r>
      <w:bookmarkEnd w:id="727"/>
      <w:bookmarkEnd w:id="728"/>
      <w:bookmarkEnd w:id="729"/>
      <w:bookmarkEnd w:id="730"/>
      <w:bookmarkEnd w:id="731"/>
      <w:bookmarkEnd w:id="732"/>
      <w:bookmarkEnd w:id="733"/>
      <w:bookmarkEnd w:id="734"/>
      <w:bookmarkEnd w:id="735"/>
      <w:bookmarkEnd w:id="736"/>
      <w:bookmarkEnd w:id="737"/>
      <w:bookmarkEnd w:id="738"/>
    </w:p>
    <w:p w14:paraId="257F76C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引导城镇及居民点统筹协调发展，构筑共建、共利的城乡发展空间格局。综合考虑崇阳定位、发展目标和现状条件，加强功能融合，城乡统筹，构建“一主三副、一轴两带”的城镇空间结构。</w:t>
      </w:r>
    </w:p>
    <w:p w14:paraId="715706C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“一主”：以天城镇为核心，建设中心城区，完善提升中心城区功能，持续增强中心城区人口和产业承载能力，促进产城融合，彰显山水内涵，成为全县高质量发展辐射中心和核心动力源。</w:t>
      </w:r>
    </w:p>
    <w:p w14:paraId="0DDB534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三副”：突出发展三大重点镇。充分发挥高速公路、干线公路连接作用，加快白霓镇、沙坪镇、路口镇三大重点镇建设，支持重点镇特色化发展，完善镇区服务功能，发展特色产业，增强其在县域城镇体系和片区经济中的支撑作用。</w:t>
      </w:r>
    </w:p>
    <w:p w14:paraId="2FAFE7D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“一轴”：国道</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为城镇发展轴，串联白霓、沙坪、路口三大重镇及沿线区域的乡镇，形成“小城镇群”，推动县域经济一体化发展。</w:t>
      </w:r>
    </w:p>
    <w:p w14:paraId="5D7DEF8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“两带”：整体推动县域南北两带同步发展。南部依托幕阜山生态旅游公路，将金塘镇、高枧乡、港口镇等区域，打造幕阜山绿色产业带。北部以</w:t>
      </w:r>
      <w:r>
        <w:rPr>
          <w:rFonts w:ascii="Times New Roman" w:hAnsi="Times New Roman" w:eastAsia="仿宋"/>
          <w:kern w:val="0"/>
          <w:szCs w:val="32"/>
          <w:shd w:val="clear" w:color="auto" w:fill="FFFFFF"/>
        </w:rPr>
        <w:t>S319</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S246</w:t>
      </w:r>
      <w:r>
        <w:rPr>
          <w:rFonts w:ascii="仿宋" w:hAnsi="仿宋" w:eastAsia="仿宋" w:cs="仿宋_GB2312"/>
          <w:kern w:val="0"/>
          <w:szCs w:val="32"/>
          <w:shd w:val="clear" w:color="auto" w:fill="FFFFFF"/>
        </w:rPr>
        <w:t>和</w:t>
      </w:r>
      <w:r>
        <w:rPr>
          <w:rFonts w:ascii="Times New Roman" w:hAnsi="Times New Roman" w:eastAsia="仿宋"/>
          <w:kern w:val="0"/>
          <w:szCs w:val="32"/>
          <w:shd w:val="clear" w:color="auto" w:fill="FFFFFF"/>
        </w:rPr>
        <w:t>S359</w:t>
      </w:r>
      <w:r>
        <w:rPr>
          <w:rFonts w:ascii="仿宋" w:hAnsi="仿宋" w:eastAsia="仿宋" w:cs="仿宋_GB2312"/>
          <w:kern w:val="0"/>
          <w:szCs w:val="32"/>
          <w:shd w:val="clear" w:color="auto" w:fill="FFFFFF"/>
        </w:rPr>
        <w:t>为骨架，将桂花泉镇、天城镇、白霓镇、路口镇等区域，重点推进一二三产业融合发展带。</w:t>
      </w:r>
    </w:p>
    <w:p w14:paraId="590AC673">
      <w:pPr>
        <w:pStyle w:val="4"/>
        <w:ind w:firstLine="640"/>
      </w:pPr>
      <w:bookmarkStart w:id="739" w:name="_Toc138866764"/>
      <w:bookmarkStart w:id="740" w:name="_Toc13931"/>
      <w:bookmarkStart w:id="741" w:name="_Toc138428891"/>
      <w:bookmarkStart w:id="742" w:name="_Toc16612"/>
      <w:bookmarkStart w:id="743" w:name="_Toc2272"/>
      <w:bookmarkStart w:id="744" w:name="_Toc16140"/>
      <w:bookmarkStart w:id="745" w:name="_Toc2940"/>
      <w:bookmarkStart w:id="746" w:name="_Toc26653"/>
      <w:bookmarkStart w:id="747" w:name="_Toc9930"/>
      <w:bookmarkStart w:id="748" w:name="_Toc31770"/>
      <w:bookmarkStart w:id="749" w:name="_Toc6583"/>
      <w:bookmarkStart w:id="750" w:name="_Toc31563"/>
      <w:r>
        <w:rPr>
          <w:rFonts w:hint="eastAsia"/>
        </w:rPr>
        <w:t>城镇等级与规模结构</w:t>
      </w:r>
      <w:bookmarkEnd w:id="739"/>
      <w:bookmarkEnd w:id="740"/>
      <w:bookmarkEnd w:id="741"/>
      <w:bookmarkEnd w:id="742"/>
      <w:bookmarkEnd w:id="743"/>
      <w:bookmarkEnd w:id="744"/>
      <w:bookmarkEnd w:id="745"/>
      <w:bookmarkEnd w:id="746"/>
      <w:bookmarkEnd w:id="747"/>
      <w:bookmarkEnd w:id="748"/>
      <w:bookmarkEnd w:id="749"/>
      <w:bookmarkEnd w:id="750"/>
    </w:p>
    <w:p w14:paraId="5848244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规划崇阳县城乡等级结构规模为“县级中心城市－中心（重点）镇－一般镇（乡）”的三级结构体系，多层次带动县域城镇化发展，构建全域网络化城镇体系。</w:t>
      </w:r>
    </w:p>
    <w:p w14:paraId="05BAF70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县级中心城市：指县域综合服务中心，位于天城镇，是全县的政治、经济、文化与服务中心</w:t>
      </w:r>
      <w:r>
        <w:rPr>
          <w:rFonts w:hint="eastAsia" w:ascii="仿宋" w:hAnsi="仿宋" w:eastAsia="仿宋" w:cs="仿宋_GB2312"/>
          <w:kern w:val="0"/>
          <w:szCs w:val="32"/>
          <w:shd w:val="clear" w:color="auto" w:fill="FFFFFF"/>
        </w:rPr>
        <w:t>。</w:t>
      </w:r>
    </w:p>
    <w:p w14:paraId="7651C98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中心（重点）镇：指白霓镇、沙坪镇及路口镇，逐步扩大人口与城镇规模，培育具有特色的产业，辐射带动周边乡镇，推动县域均衡发展。</w:t>
      </w:r>
    </w:p>
    <w:p w14:paraId="6CBE2B3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一般镇（乡）：指青山镇、石城镇、桂花泉镇、金塘镇、肖岭乡、港口乡、高枧乡。</w:t>
      </w:r>
      <w:r>
        <w:rPr>
          <w:rFonts w:ascii="仿宋" w:hAnsi="仿宋" w:eastAsia="仿宋" w:cs="仿宋_GB2312"/>
          <w:kern w:val="0"/>
          <w:szCs w:val="32"/>
          <w:shd w:val="clear" w:color="auto" w:fill="FFFFFF"/>
          <w:lang w:bidi="ar"/>
        </w:rPr>
        <w:t>为具有旅游服务、农业服务等特色功能的小城镇，健全基本公共服务体系，完善镇区居住功能和服务功能，发挥服务“三农”的重要作用。</w:t>
      </w:r>
    </w:p>
    <w:p w14:paraId="1966178D">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751" w:name="_Toc18488"/>
      <w:bookmarkStart w:id="752" w:name="_Toc11171"/>
      <w:bookmarkStart w:id="753" w:name="_Toc28034"/>
      <w:bookmarkStart w:id="754" w:name="_Toc9256"/>
      <w:bookmarkStart w:id="755" w:name="_Toc14449"/>
      <w:bookmarkStart w:id="756" w:name="_Toc17847"/>
      <w:bookmarkStart w:id="757" w:name="_Toc1341"/>
      <w:bookmarkStart w:id="758" w:name="_Toc30508"/>
      <w:bookmarkStart w:id="759" w:name="_Toc1370"/>
      <w:bookmarkStart w:id="760" w:name="_Toc1112"/>
      <w:bookmarkStart w:id="761" w:name="_Toc7778"/>
      <w:bookmarkStart w:id="762" w:name="_Toc138866992"/>
      <w:bookmarkStart w:id="763" w:name="_Toc22292"/>
      <w:bookmarkStart w:id="764" w:name="_Toc7140"/>
      <w:bookmarkStart w:id="765" w:name="_Toc138866775"/>
      <w:bookmarkStart w:id="766" w:name="_Toc26567"/>
      <w:bookmarkStart w:id="767" w:name="_Toc32351"/>
      <w:bookmarkStart w:id="768" w:name="_Toc125"/>
      <w:bookmarkStart w:id="769" w:name="_Toc30913"/>
      <w:bookmarkStart w:id="770" w:name="_Toc24284"/>
      <w:bookmarkStart w:id="771" w:name="_Toc11822"/>
      <w:bookmarkStart w:id="772" w:name="_Toc3867"/>
      <w:bookmarkStart w:id="773" w:name="_Toc23801"/>
      <w:bookmarkStart w:id="774" w:name="_Toc29635"/>
      <w:bookmarkStart w:id="775" w:name="_Toc3699"/>
      <w:r>
        <w:rPr>
          <w:rFonts w:hint="eastAsia" w:ascii="黑体" w:hAnsi="黑体" w:cs="黑体"/>
          <w:bCs w:val="0"/>
        </w:rPr>
        <w:t>第二节 完善公共服务体系</w:t>
      </w:r>
      <w:bookmarkEnd w:id="751"/>
      <w:bookmarkEnd w:id="752"/>
      <w:bookmarkEnd w:id="753"/>
      <w:bookmarkEnd w:id="754"/>
      <w:bookmarkEnd w:id="755"/>
      <w:bookmarkEnd w:id="756"/>
      <w:bookmarkEnd w:id="757"/>
    </w:p>
    <w:p w14:paraId="5D5B2583">
      <w:pPr>
        <w:pStyle w:val="4"/>
        <w:ind w:firstLine="640"/>
      </w:pPr>
      <w:r>
        <w:rPr>
          <w:rFonts w:hint="eastAsia"/>
        </w:rPr>
        <w:t>构建“县域-重点镇-一般镇（乡）-村（社区）”四级公共服务体系</w:t>
      </w:r>
    </w:p>
    <w:p w14:paraId="526F2948">
      <w:pPr>
        <w:widowControl/>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rPr>
        <w:t>落实促进区域协调发展、城乡统筹发展为基本要求，以解决县域范围内居民生活所必需的公共服务设施合理配置问题为主要建设目标。以人民群众关心的问题为导向，践行“以人民为中心不断提升群众获得感幸福感”理念，推进公共服务设施建设，不断提高民生保障和公共服务供给水平，使人民群众获得更好的教育、更高水平的医疗卫生和养老服务、更丰富的文化体育服务、更可靠的社会保障。系统推进城乡共享的“平急两用”公共基础设施建设，做好“平急两用”公共基础设施空间规划和用地保障，布局人民防空设施，提升城市应对突发公共事件能力。</w:t>
      </w:r>
    </w:p>
    <w:p w14:paraId="2678A0C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县级”公共服务设施主要布置在中心城区，服务规模满足县域层面在行政、文化、教育、办公、医疗、体育等方面的综合需求。在公共设施分布现状的基础上，新增公共设施宜集中布置，形成城市公共中心区，即以行政中心为核心，规划的行政、商贸、文化、体育中心等大型公共设施宜紧凑布局，集中布置。</w:t>
      </w:r>
    </w:p>
    <w:p w14:paraId="4B190CBF">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“重点镇级”公共服务设施在白霓镇、沙坪镇及路口镇三个重点镇进行布置，设施分布于重点镇中心适合位置，主要提供相应的教育、商业、福利、卫生健康、文化、体育等功能的公共服务设施。</w:t>
      </w:r>
    </w:p>
    <w:p w14:paraId="0EDE595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“一般镇（乡）级”公共服务设施在非重点镇的乡镇进行布置，设施分布于乡镇中心合适位置，主要提供相应的教育、商业、文化、卫生等功能的公共服务设施。</w:t>
      </w:r>
    </w:p>
    <w:p w14:paraId="3FB9D80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村（社区）级中心。以中心村为主，满足</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10</w:t>
      </w:r>
      <w:r>
        <w:rPr>
          <w:rFonts w:ascii="仿宋" w:hAnsi="仿宋" w:eastAsia="仿宋" w:cs="仿宋_GB2312"/>
          <w:kern w:val="0"/>
          <w:szCs w:val="32"/>
          <w:shd w:val="clear" w:color="auto" w:fill="FFFFFF"/>
        </w:rPr>
        <w:t>分钟生活圈的覆盖范围标准，着重保障日常基本公共服务设施供给。</w:t>
      </w:r>
    </w:p>
    <w:p w14:paraId="41FBE887">
      <w:pPr>
        <w:pStyle w:val="4"/>
        <w:ind w:firstLine="640"/>
      </w:pPr>
      <w:r>
        <w:rPr>
          <w:rFonts w:hint="eastAsia"/>
        </w:rPr>
        <w:t>完善公共服务布局，打造社区生活圈体系</w:t>
      </w:r>
    </w:p>
    <w:p w14:paraId="05598A51">
      <w:pPr>
        <w:widowControl/>
        <w:spacing w:line="560" w:lineRule="atLeas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有针对性地扩大优质公共服务资源的布局力度，进一步推进高等级、高品质的公共服务设施布局，提高优质公共服务供给的覆盖率，加强崇阳县公共服务能级和区域影响力。</w:t>
      </w:r>
    </w:p>
    <w:p w14:paraId="2B7B4730">
      <w:pPr>
        <w:widowControl/>
        <w:spacing w:line="560" w:lineRule="atLeas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建设便民利民的</w:t>
      </w: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分钟</w:t>
      </w:r>
      <w:r>
        <w:rPr>
          <w:rFonts w:hint="eastAsia" w:ascii="仿宋" w:hAnsi="仿宋" w:eastAsia="仿宋" w:cs="仿宋_GB2312"/>
          <w:kern w:val="0"/>
          <w:szCs w:val="32"/>
          <w:shd w:val="clear" w:color="auto" w:fill="FFFFFF"/>
        </w:rPr>
        <w:t>城市</w:t>
      </w:r>
      <w:r>
        <w:rPr>
          <w:rFonts w:ascii="仿宋" w:hAnsi="仿宋" w:eastAsia="仿宋" w:cs="仿宋_GB2312"/>
          <w:kern w:val="0"/>
          <w:szCs w:val="32"/>
          <w:shd w:val="clear" w:color="auto" w:fill="FFFFFF"/>
        </w:rPr>
        <w:t>社区生活圈。以城市社区管辖管理服务范围为基础，按照“规模适中、适当集中、便于服务、兼顾地域”的原则，参照居住区规划设计标准，以及社区生活圈规划技术指南，构建“</w:t>
      </w: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分钟、</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10</w:t>
      </w:r>
      <w:r>
        <w:rPr>
          <w:rFonts w:ascii="仿宋" w:hAnsi="仿宋" w:eastAsia="仿宋" w:cs="仿宋_GB2312"/>
          <w:kern w:val="0"/>
          <w:szCs w:val="32"/>
          <w:shd w:val="clear" w:color="auto" w:fill="FFFFFF"/>
        </w:rPr>
        <w:t>分钟”社区生活圈。以居民步行范围，整合片区公共资源，补齐服务设施短板，优化设施布局，建设“</w:t>
      </w:r>
      <w:r>
        <w:rPr>
          <w:rFonts w:ascii="仿宋" w:hAnsi="仿宋" w:eastAsia="仿宋" w:cs="仿宋_GB2312"/>
          <w:kern w:val="0"/>
          <w:szCs w:val="32"/>
          <w:shd w:val="clear" w:color="auto" w:fill="FFFFFF"/>
          <w:lang w:bidi="ar"/>
        </w:rPr>
        <w:t>宜业、宜居、宜游、宜养、宜学”的社区生活圈。以城乡社区为基础构建</w:t>
      </w:r>
      <w:r>
        <w:rPr>
          <w:rFonts w:ascii="Times New Roman" w:hAnsi="Times New Roman" w:eastAsia="仿宋"/>
          <w:kern w:val="0"/>
          <w:szCs w:val="32"/>
          <w:shd w:val="clear" w:color="auto" w:fill="FFFFFF"/>
          <w:lang w:bidi="ar"/>
        </w:rPr>
        <w:t>15</w:t>
      </w:r>
      <w:r>
        <w:rPr>
          <w:rFonts w:ascii="仿宋" w:hAnsi="仿宋" w:eastAsia="仿宋" w:cs="仿宋_GB2312"/>
          <w:kern w:val="0"/>
          <w:szCs w:val="32"/>
          <w:shd w:val="clear" w:color="auto" w:fill="FFFFFF"/>
          <w:lang w:bidi="ar"/>
        </w:rPr>
        <w:t>分钟生活圈，充分满足居民的基本公共服务需求，提高基本公共服务保障能力和均等化水平。</w:t>
      </w:r>
      <w:r>
        <w:rPr>
          <w:rFonts w:hint="eastAsia" w:ascii="仿宋" w:hAnsi="仿宋" w:eastAsia="仿宋" w:cs="仿宋_GB2312"/>
          <w:kern w:val="0"/>
          <w:szCs w:val="32"/>
          <w:shd w:val="clear" w:color="auto" w:fill="FFFFFF"/>
        </w:rPr>
        <w:t>城市</w:t>
      </w: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分钟社区生活圈建设，强调功能复合，促进职住平衡，保障日常生活便捷，配备基础教育、医疗卫生服务、文化服务、体育健身服务、养老服务、商业服务、市政公用等各类基本公共服务设施。宜结合城镇居委社区服务范围，配置城镇居民日常使用，特别是面向老人、儿童的基本服务要素。</w:t>
      </w:r>
    </w:p>
    <w:p w14:paraId="1A524C1A">
      <w:pPr>
        <w:widowControl/>
        <w:spacing w:line="560" w:lineRule="atLeas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lang w:bidi="ar"/>
        </w:rPr>
        <w:t>以乡镇为单元构建</w:t>
      </w:r>
      <w:r>
        <w:rPr>
          <w:rFonts w:ascii="Times New Roman" w:hAnsi="Times New Roman" w:eastAsia="仿宋"/>
          <w:kern w:val="0"/>
          <w:szCs w:val="32"/>
          <w:shd w:val="clear" w:color="auto" w:fill="FFFFFF"/>
          <w:lang w:bidi="ar"/>
        </w:rPr>
        <w:t>30</w:t>
      </w:r>
      <w:r>
        <w:rPr>
          <w:rFonts w:ascii="仿宋" w:hAnsi="仿宋" w:eastAsia="仿宋" w:cs="仿宋_GB2312"/>
          <w:kern w:val="0"/>
          <w:szCs w:val="32"/>
          <w:shd w:val="clear" w:color="auto" w:fill="FFFFFF"/>
          <w:lang w:bidi="ar"/>
        </w:rPr>
        <w:t>分钟</w:t>
      </w:r>
      <w:r>
        <w:rPr>
          <w:rFonts w:hint="eastAsia" w:ascii="仿宋" w:hAnsi="仿宋" w:eastAsia="仿宋" w:cs="仿宋_GB2312"/>
          <w:kern w:val="0"/>
          <w:szCs w:val="32"/>
          <w:shd w:val="clear" w:color="auto" w:fill="FFFFFF"/>
          <w:lang w:bidi="ar"/>
        </w:rPr>
        <w:t>城</w:t>
      </w:r>
      <w:r>
        <w:rPr>
          <w:rFonts w:ascii="仿宋" w:hAnsi="仿宋" w:eastAsia="仿宋" w:cs="仿宋_GB2312"/>
          <w:kern w:val="0"/>
          <w:szCs w:val="32"/>
          <w:shd w:val="clear" w:color="auto" w:fill="FFFFFF"/>
          <w:lang w:bidi="ar"/>
        </w:rPr>
        <w:t>镇生活圈。按照</w:t>
      </w:r>
      <w:r>
        <w:rPr>
          <w:rFonts w:ascii="Times New Roman" w:hAnsi="Times New Roman" w:eastAsia="仿宋"/>
          <w:kern w:val="0"/>
          <w:szCs w:val="32"/>
          <w:shd w:val="clear" w:color="auto" w:fill="FFFFFF"/>
          <w:lang w:bidi="ar"/>
        </w:rPr>
        <w:t>30</w:t>
      </w:r>
      <w:r>
        <w:rPr>
          <w:rFonts w:ascii="仿宋" w:hAnsi="仿宋" w:eastAsia="仿宋" w:cs="仿宋_GB2312"/>
          <w:kern w:val="0"/>
          <w:szCs w:val="32"/>
          <w:shd w:val="clear" w:color="auto" w:fill="FFFFFF"/>
          <w:lang w:bidi="ar"/>
        </w:rPr>
        <w:t>分钟可达的空间范围，打造城镇生活圈，完善乡镇级公共服务设施。圈内通勤出行时间约</w:t>
      </w:r>
      <w:r>
        <w:rPr>
          <w:rFonts w:ascii="Times New Roman" w:hAnsi="Times New Roman" w:eastAsia="仿宋"/>
          <w:kern w:val="0"/>
          <w:szCs w:val="32"/>
          <w:shd w:val="clear" w:color="auto" w:fill="FFFFFF"/>
          <w:lang w:bidi="ar"/>
        </w:rPr>
        <w:t>30</w:t>
      </w:r>
      <w:r>
        <w:rPr>
          <w:rFonts w:ascii="仿宋" w:hAnsi="仿宋" w:eastAsia="仿宋" w:cs="仿宋_GB2312"/>
          <w:kern w:val="0"/>
          <w:szCs w:val="32"/>
          <w:shd w:val="clear" w:color="auto" w:fill="FFFFFF"/>
          <w:lang w:bidi="ar"/>
        </w:rPr>
        <w:t>分钟，城镇地区作为职住平衡的基本单元，实现公共服务与就业岗位均衡化布局；乡村地区作为郊区空间组织和资源配置的基本单元，强化交通网络支撑，共享公共服务设施。规划期内，结合</w:t>
      </w:r>
      <w:r>
        <w:rPr>
          <w:rFonts w:ascii="Times New Roman" w:hAnsi="Times New Roman" w:eastAsia="仿宋"/>
          <w:kern w:val="0"/>
          <w:szCs w:val="32"/>
          <w:shd w:val="clear" w:color="auto" w:fill="FFFFFF"/>
          <w:lang w:bidi="ar"/>
        </w:rPr>
        <w:t>30</w:t>
      </w:r>
      <w:r>
        <w:rPr>
          <w:rFonts w:ascii="仿宋" w:hAnsi="仿宋" w:eastAsia="仿宋" w:cs="仿宋_GB2312"/>
          <w:kern w:val="0"/>
          <w:szCs w:val="32"/>
          <w:shd w:val="clear" w:color="auto" w:fill="FFFFFF"/>
          <w:lang w:bidi="ar"/>
        </w:rPr>
        <w:t>分钟镇村生活圈，布局乡镇及行政服务、公共服务中心、文化娱乐、体育、医疗卫生、商业金融服务、邮电等系列较完善的、满足该区域居民物质与文化生活所需的各类公共服务设施、鼓励同类设施相对集中布局或综合设置，同时强化原有乡镇级设施的改造升级，提高空间利用效率。</w:t>
      </w:r>
    </w:p>
    <w:p w14:paraId="70093B17">
      <w:pPr>
        <w:widowControl/>
        <w:spacing w:line="560" w:lineRule="atLeas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lang w:bidi="ar"/>
        </w:rPr>
        <w:t>以城乡社区为基础构建</w:t>
      </w:r>
      <w:r>
        <w:rPr>
          <w:rFonts w:ascii="Times New Roman" w:hAnsi="Times New Roman" w:eastAsia="仿宋"/>
          <w:kern w:val="0"/>
          <w:szCs w:val="32"/>
          <w:shd w:val="clear" w:color="auto" w:fill="FFFFFF"/>
          <w:lang w:bidi="ar"/>
        </w:rPr>
        <w:t>15</w:t>
      </w:r>
      <w:r>
        <w:rPr>
          <w:rFonts w:ascii="仿宋" w:hAnsi="仿宋" w:eastAsia="仿宋" w:cs="仿宋_GB2312"/>
          <w:kern w:val="0"/>
          <w:szCs w:val="32"/>
          <w:shd w:val="clear" w:color="auto" w:fill="FFFFFF"/>
          <w:lang w:bidi="ar"/>
        </w:rPr>
        <w:t>分钟</w:t>
      </w:r>
      <w:r>
        <w:rPr>
          <w:rFonts w:hint="eastAsia" w:ascii="仿宋" w:hAnsi="仿宋" w:eastAsia="仿宋" w:cs="仿宋_GB2312"/>
          <w:kern w:val="0"/>
          <w:szCs w:val="32"/>
          <w:shd w:val="clear" w:color="auto" w:fill="FFFFFF"/>
          <w:lang w:bidi="ar"/>
        </w:rPr>
        <w:t>乡镇</w:t>
      </w:r>
      <w:r>
        <w:rPr>
          <w:rFonts w:ascii="仿宋" w:hAnsi="仿宋" w:eastAsia="仿宋" w:cs="仿宋_GB2312"/>
          <w:kern w:val="0"/>
          <w:szCs w:val="32"/>
          <w:shd w:val="clear" w:color="auto" w:fill="FFFFFF"/>
          <w:lang w:bidi="ar"/>
        </w:rPr>
        <w:t>生活圈，充分满足居民的基本公共服务需求，提高基本公共服务保障能力和均等化水平。城镇社区生活圈按照步行</w:t>
      </w:r>
      <w:r>
        <w:rPr>
          <w:rFonts w:ascii="Times New Roman" w:hAnsi="Times New Roman" w:eastAsia="仿宋"/>
          <w:kern w:val="0"/>
          <w:szCs w:val="32"/>
          <w:shd w:val="clear" w:color="auto" w:fill="FFFFFF"/>
          <w:lang w:bidi="ar"/>
        </w:rPr>
        <w:t>15</w:t>
      </w:r>
      <w:r>
        <w:rPr>
          <w:rFonts w:ascii="仿宋" w:hAnsi="仿宋" w:eastAsia="仿宋" w:cs="仿宋_GB2312"/>
          <w:kern w:val="0"/>
          <w:szCs w:val="32"/>
          <w:shd w:val="clear" w:color="auto" w:fill="FFFFFF"/>
          <w:lang w:bidi="ar"/>
        </w:rPr>
        <w:t>分钟可达为衡量标准，结合乡镇等基层管理需求，服务半径约</w:t>
      </w:r>
      <w:r>
        <w:rPr>
          <w:rFonts w:ascii="Times New Roman" w:hAnsi="Times New Roman" w:eastAsia="仿宋"/>
          <w:kern w:val="0"/>
          <w:szCs w:val="32"/>
          <w:shd w:val="clear" w:color="auto" w:fill="FFFFFF"/>
          <w:lang w:bidi="ar"/>
        </w:rPr>
        <w:t>1</w:t>
      </w:r>
      <w:r>
        <w:rPr>
          <w:rFonts w:ascii="仿宋" w:hAnsi="仿宋" w:eastAsia="仿宋" w:cs="仿宋_GB2312"/>
          <w:kern w:val="0"/>
          <w:szCs w:val="32"/>
          <w:shd w:val="clear" w:color="auto" w:fill="FFFFFF"/>
          <w:lang w:bidi="ar"/>
        </w:rPr>
        <w:t>公里；乡村社区生活圈按照慢行可达的空间范围，结合行政村边界划定，一般涵盖多个自然村，以提高基本公共服务保障能力和均等化水平，保障城乡居民享有便捷舒适的公共服务。规划期内，在社区生活圈内配置社区中心和社区公园，社区中心配套行政管理、文化教育、体育健身、医疗卫生、养老福利、商业服务等六类满足居民基本生活的设施，社区公园绿地及慢行绿道可以满足休闲娱乐的诉求。其中文化教育、体育休闲、商业服务除基础保障类外，可配置品质提升类项目，提高城乡居民生活品质。</w:t>
      </w:r>
      <w:r>
        <w:rPr>
          <w:rFonts w:ascii="仿宋" w:hAnsi="仿宋" w:eastAsia="仿宋" w:cs="仿宋_GB2312"/>
          <w:kern w:val="0"/>
          <w:szCs w:val="32"/>
          <w:shd w:val="clear" w:color="auto" w:fill="FFFFFF"/>
        </w:rPr>
        <w:t>建设服务均等优质的乡</w:t>
      </w:r>
      <w:r>
        <w:rPr>
          <w:rFonts w:hint="eastAsia" w:ascii="仿宋" w:hAnsi="仿宋" w:eastAsia="仿宋" w:cs="仿宋_GB2312"/>
          <w:kern w:val="0"/>
          <w:szCs w:val="32"/>
          <w:shd w:val="clear" w:color="auto" w:fill="FFFFFF"/>
        </w:rPr>
        <w:t>镇</w:t>
      </w:r>
      <w:r>
        <w:rPr>
          <w:rFonts w:ascii="仿宋" w:hAnsi="仿宋" w:eastAsia="仿宋" w:cs="仿宋_GB2312"/>
          <w:kern w:val="0"/>
          <w:szCs w:val="32"/>
          <w:shd w:val="clear" w:color="auto" w:fill="FFFFFF"/>
        </w:rPr>
        <w:t>社区生活圈。城镇开发边界外地区，以新型农村社区为单元，建设乡村社区生活圈，提升农村地区宜居水平。</w:t>
      </w:r>
    </w:p>
    <w:p w14:paraId="030552B0">
      <w:pPr>
        <w:pStyle w:val="4"/>
        <w:ind w:firstLine="640"/>
      </w:pPr>
      <w:r>
        <w:rPr>
          <w:rFonts w:hint="eastAsia"/>
        </w:rPr>
        <w:t>住房保障</w:t>
      </w:r>
    </w:p>
    <w:p w14:paraId="193147CF">
      <w:pPr>
        <w:widowControl/>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rPr>
        <w:t>建设多层次的住房制度。在以普通住房占主体、满足保障性住房要求的基础上，顺应不同群体的个性化需求，建立多元化住房供应体系。规划期内重点完善廉租房、共有产权保障住房、公共租赁住房和征收安置住房“四位一体”的保障性住房体系。新增住宅用地应配建</w:t>
      </w:r>
      <w:r>
        <w:rPr>
          <w:rFonts w:ascii="Times New Roman" w:hAnsi="Times New Roman" w:eastAsia="仿宋"/>
          <w:kern w:val="0"/>
          <w:szCs w:val="32"/>
          <w:shd w:val="clear" w:color="auto" w:fill="FFFFFF"/>
        </w:rPr>
        <w:t>10</w:t>
      </w:r>
      <w:r>
        <w:rPr>
          <w:rFonts w:ascii="仿宋" w:hAnsi="仿宋" w:eastAsia="仿宋" w:cs="仿宋_GB2312"/>
          <w:kern w:val="0"/>
          <w:szCs w:val="32"/>
          <w:shd w:val="clear" w:color="auto" w:fill="FFFFFF"/>
        </w:rPr>
        <w:t>%比例的保障性住房，布局上应结合就业集中区和公共交通站点就近设置。推动老旧住区有机更新。积极开展社区生活圈规划，推动住区有机更新和城中村综合整治，持续改善老旧社区和历史街区的居住条件、服务设施和外部环境。明确社区适老性设施建设标准，建设和改造一批适老性住宅。以社区生活圈的理念进行城市有机更新和区块开发。</w:t>
      </w:r>
    </w:p>
    <w:p w14:paraId="219A3E44">
      <w:pPr>
        <w:pStyle w:val="4"/>
        <w:ind w:firstLine="640"/>
      </w:pPr>
      <w:r>
        <w:rPr>
          <w:rFonts w:hint="eastAsia"/>
        </w:rPr>
        <w:t>基础教育服务体系</w:t>
      </w:r>
    </w:p>
    <w:p w14:paraId="309653B4">
      <w:pPr>
        <w:widowControl/>
        <w:spacing w:line="560" w:lineRule="exact"/>
        <w:ind w:firstLine="640"/>
        <w:jc w:val="both"/>
        <w:rPr>
          <w:rFonts w:ascii="仿宋" w:hAnsi="仿宋" w:eastAsia="仿宋" w:cs="仿宋_GB2312"/>
          <w:kern w:val="0"/>
          <w:szCs w:val="32"/>
          <w:u w:val="single"/>
          <w:shd w:val="clear" w:color="auto" w:fill="FFFFFF"/>
        </w:rPr>
      </w:pPr>
      <w:r>
        <w:rPr>
          <w:rFonts w:ascii="仿宋" w:hAnsi="仿宋" w:eastAsia="仿宋" w:cs="仿宋_GB2312"/>
          <w:kern w:val="0"/>
          <w:szCs w:val="32"/>
          <w:shd w:val="clear" w:color="auto" w:fill="FFFFFF"/>
        </w:rPr>
        <w:t>统筹城乡学前教育资源，科学布局城乡学前教育机构。统筹义务教育资源，优化县域内义务教育阶段学校布局，消除大班额，解决好义务教育“农村弱、县城挤”的问题，努力缩小城乡间、校际间的办学水平差距，促进县域义务教育优质均衡发展。构建覆盖城乡的基本公共教育服务体系，推动学前教育公益惠普发展，推动义务教育优质均衡发展，促进高中教育和中等职业教育优质多样化发展，推进特殊教育特惠特办，推进职业教育优质多样化发展，推进特殊教育特惠特办，推进职业教育产教融合。</w:t>
      </w:r>
    </w:p>
    <w:p w14:paraId="710C68AB">
      <w:pPr>
        <w:pStyle w:val="4"/>
        <w:ind w:firstLine="640"/>
      </w:pPr>
      <w:r>
        <w:rPr>
          <w:rFonts w:hint="eastAsia"/>
        </w:rPr>
        <w:t>文化服务体系</w:t>
      </w:r>
    </w:p>
    <w:p w14:paraId="100E4BC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建立供给丰富、均衡高效的现代公共文化服务体系。在中心城区布局县级文化设施，包括文化馆、图书馆、综合博物馆、档案馆、青少年活动中心等文化设施，作为市民文化服务的主要集中地。</w:t>
      </w:r>
      <w:r>
        <w:rPr>
          <w:rFonts w:hint="eastAsia" w:ascii="仿宋" w:hAnsi="仿宋" w:eastAsia="仿宋" w:cs="仿宋_GB2312"/>
          <w:kern w:val="0"/>
          <w:szCs w:val="32"/>
          <w:u w:val="none"/>
          <w:shd w:val="clear" w:color="auto" w:fill="FFFFFF"/>
        </w:rPr>
        <w:t>重点镇应配置</w:t>
      </w:r>
      <w:r>
        <w:rPr>
          <w:rFonts w:ascii="Times New Roman" w:hAnsi="Times New Roman" w:eastAsia="仿宋"/>
          <w:kern w:val="0"/>
          <w:szCs w:val="32"/>
          <w:u w:val="none"/>
          <w:shd w:val="clear" w:color="auto" w:fill="FFFFFF"/>
        </w:rPr>
        <w:t>1</w:t>
      </w:r>
      <w:r>
        <w:rPr>
          <w:rFonts w:hint="eastAsia" w:ascii="仿宋" w:hAnsi="仿宋" w:eastAsia="仿宋" w:cs="仿宋_GB2312"/>
          <w:kern w:val="0"/>
          <w:szCs w:val="32"/>
          <w:u w:val="none"/>
          <w:shd w:val="clear" w:color="auto" w:fill="FFFFFF"/>
        </w:rPr>
        <w:t>所综合文化中心，一般镇应配置</w:t>
      </w:r>
      <w:r>
        <w:rPr>
          <w:rFonts w:ascii="Times New Roman" w:hAnsi="Times New Roman" w:eastAsia="仿宋"/>
          <w:kern w:val="0"/>
          <w:szCs w:val="32"/>
          <w:u w:val="none"/>
          <w:shd w:val="clear" w:color="auto" w:fill="FFFFFF"/>
        </w:rPr>
        <w:t>1</w:t>
      </w:r>
      <w:r>
        <w:rPr>
          <w:rFonts w:hint="eastAsia" w:ascii="仿宋" w:hAnsi="仿宋" w:eastAsia="仿宋" w:cs="仿宋_GB2312"/>
          <w:kern w:val="0"/>
          <w:szCs w:val="32"/>
          <w:u w:val="none"/>
          <w:shd w:val="clear" w:color="auto" w:fill="FFFFFF"/>
        </w:rPr>
        <w:t>所文化站，旅游资源丰富、对外交通便捷的乡镇可结合发展需求建设有文化特色的展览馆和博物馆。</w:t>
      </w:r>
    </w:p>
    <w:p w14:paraId="7804251B">
      <w:pPr>
        <w:pStyle w:val="4"/>
        <w:ind w:firstLine="640"/>
      </w:pPr>
      <w:r>
        <w:rPr>
          <w:rFonts w:hint="eastAsia"/>
        </w:rPr>
        <w:t>公共医疗卫生体系</w:t>
      </w:r>
    </w:p>
    <w:p w14:paraId="0D5FDA5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逐步完善医疗服务、预防保健和卫生监督三大体系。重点建设以综合医院、专科医院、社区卫生服务中心（站）为主的医疗服务体系和以县疾病预防中心和县妇幼保健院为主的预防保健服务体系。建立覆盖城乡、服务均等的医疗服务体系。</w:t>
      </w:r>
      <w:r>
        <w:rPr>
          <w:rFonts w:ascii="仿宋" w:hAnsi="仿宋" w:eastAsia="仿宋" w:cs="仿宋_GB2312"/>
          <w:kern w:val="0"/>
          <w:szCs w:val="32"/>
          <w:u w:val="none"/>
          <w:shd w:val="clear" w:color="auto" w:fill="FFFFFF"/>
        </w:rPr>
        <w:t>中心城区应配置至少</w:t>
      </w:r>
      <w:r>
        <w:rPr>
          <w:rFonts w:ascii="Times New Roman" w:hAnsi="Times New Roman" w:eastAsia="仿宋"/>
          <w:kern w:val="0"/>
          <w:szCs w:val="32"/>
          <w:u w:val="none"/>
          <w:shd w:val="clear" w:color="auto" w:fill="FFFFFF"/>
        </w:rPr>
        <w:t>1</w:t>
      </w:r>
      <w:r>
        <w:rPr>
          <w:rFonts w:ascii="仿宋" w:hAnsi="仿宋" w:eastAsia="仿宋" w:cs="仿宋_GB2312"/>
          <w:kern w:val="0"/>
          <w:szCs w:val="32"/>
          <w:u w:val="none"/>
          <w:shd w:val="clear" w:color="auto" w:fill="FFFFFF"/>
        </w:rPr>
        <w:t>个综合医院、</w:t>
      </w:r>
      <w:r>
        <w:rPr>
          <w:rFonts w:ascii="Times New Roman" w:hAnsi="Times New Roman" w:eastAsia="仿宋"/>
          <w:kern w:val="0"/>
          <w:szCs w:val="32"/>
          <w:u w:val="none"/>
          <w:shd w:val="clear" w:color="auto" w:fill="FFFFFF"/>
        </w:rPr>
        <w:t>1</w:t>
      </w:r>
      <w:r>
        <w:rPr>
          <w:rFonts w:ascii="仿宋" w:hAnsi="仿宋" w:eastAsia="仿宋" w:cs="仿宋_GB2312"/>
          <w:kern w:val="0"/>
          <w:szCs w:val="32"/>
          <w:u w:val="none"/>
          <w:shd w:val="clear" w:color="auto" w:fill="FFFFFF"/>
        </w:rPr>
        <w:t>个中医医院、</w:t>
      </w:r>
      <w:r>
        <w:rPr>
          <w:rFonts w:ascii="Times New Roman" w:hAnsi="Times New Roman" w:eastAsia="仿宋"/>
          <w:kern w:val="0"/>
          <w:szCs w:val="32"/>
          <w:u w:val="none"/>
          <w:shd w:val="clear" w:color="auto" w:fill="FFFFFF"/>
        </w:rPr>
        <w:t>1</w:t>
      </w:r>
      <w:r>
        <w:rPr>
          <w:rFonts w:ascii="仿宋" w:hAnsi="仿宋" w:eastAsia="仿宋" w:cs="仿宋_GB2312"/>
          <w:kern w:val="0"/>
          <w:szCs w:val="32"/>
          <w:u w:val="none"/>
          <w:shd w:val="clear" w:color="auto" w:fill="FFFFFF"/>
        </w:rPr>
        <w:t>个妇幼保健院。重点镇应配置</w:t>
      </w:r>
      <w:r>
        <w:rPr>
          <w:rFonts w:ascii="Times New Roman" w:hAnsi="Times New Roman" w:eastAsia="仿宋"/>
          <w:kern w:val="0"/>
          <w:szCs w:val="32"/>
          <w:u w:val="none"/>
          <w:shd w:val="clear" w:color="auto" w:fill="FFFFFF"/>
        </w:rPr>
        <w:t>1</w:t>
      </w:r>
      <w:r>
        <w:rPr>
          <w:rFonts w:ascii="仿宋" w:hAnsi="仿宋" w:eastAsia="仿宋" w:cs="仿宋_GB2312"/>
          <w:kern w:val="0"/>
          <w:szCs w:val="32"/>
          <w:u w:val="none"/>
          <w:shd w:val="clear" w:color="auto" w:fill="FFFFFF"/>
        </w:rPr>
        <w:t>所中心乡镇卫生院，着重强化医疗服务能力并承担对周边区域内镇卫生院的指导工作，一般镇应配置</w:t>
      </w:r>
      <w:r>
        <w:rPr>
          <w:rFonts w:ascii="Times New Roman" w:hAnsi="Times New Roman" w:eastAsia="仿宋"/>
          <w:kern w:val="0"/>
          <w:szCs w:val="32"/>
          <w:u w:val="none"/>
          <w:shd w:val="clear" w:color="auto" w:fill="FFFFFF"/>
        </w:rPr>
        <w:t>1</w:t>
      </w:r>
      <w:r>
        <w:rPr>
          <w:rFonts w:ascii="仿宋" w:hAnsi="仿宋" w:eastAsia="仿宋" w:cs="仿宋_GB2312"/>
          <w:kern w:val="0"/>
          <w:szCs w:val="32"/>
          <w:u w:val="none"/>
          <w:shd w:val="clear" w:color="auto" w:fill="FFFFFF"/>
        </w:rPr>
        <w:t>所标准化乡镇卫生院。</w:t>
      </w:r>
    </w:p>
    <w:p w14:paraId="4D8B0A78">
      <w:pPr>
        <w:pStyle w:val="4"/>
        <w:ind w:firstLine="640"/>
      </w:pPr>
      <w:r>
        <w:rPr>
          <w:rFonts w:hint="eastAsia"/>
        </w:rPr>
        <w:t>体育服务体系</w:t>
      </w:r>
    </w:p>
    <w:p w14:paraId="4767D8C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完善体育场地设施保障体系。</w:t>
      </w:r>
      <w:r>
        <w:rPr>
          <w:rFonts w:ascii="仿宋" w:hAnsi="仿宋" w:eastAsia="仿宋" w:cs="仿宋_GB2312"/>
          <w:kern w:val="0"/>
          <w:szCs w:val="32"/>
          <w:u w:val="none"/>
          <w:shd w:val="clear" w:color="auto" w:fill="FFFFFF"/>
        </w:rPr>
        <w:t>按照“一场两馆”（体育场、体育馆、游泳馆）的标准促进中心城区体育场馆建设，规划保留新建成的综合性体育中心，提升完善公共体育设施服务。</w:t>
      </w:r>
      <w:r>
        <w:rPr>
          <w:rFonts w:ascii="仿宋" w:hAnsi="仿宋" w:eastAsia="仿宋" w:cs="仿宋_GB2312"/>
          <w:kern w:val="0"/>
          <w:szCs w:val="32"/>
          <w:shd w:val="clear" w:color="auto" w:fill="FFFFFF"/>
        </w:rPr>
        <w:t>在中心城区布局县级体育设施包括体育馆、体育场等。</w:t>
      </w:r>
      <w:r>
        <w:rPr>
          <w:rFonts w:hint="eastAsia" w:ascii="仿宋" w:hAnsi="仿宋" w:eastAsia="仿宋" w:cs="仿宋_GB2312"/>
          <w:kern w:val="0"/>
          <w:szCs w:val="32"/>
          <w:shd w:val="clear" w:color="auto" w:fill="FFFFFF"/>
          <w:lang w:val="en-US" w:eastAsia="zh-CN"/>
        </w:rPr>
        <w:t xml:space="preserve"> </w:t>
      </w:r>
    </w:p>
    <w:p w14:paraId="445EC9A4">
      <w:pPr>
        <w:pStyle w:val="4"/>
        <w:ind w:firstLine="640"/>
      </w:pPr>
      <w:r>
        <w:rPr>
          <w:rFonts w:hint="eastAsia"/>
        </w:rPr>
        <w:t>社会福利体系</w:t>
      </w:r>
    </w:p>
    <w:p w14:paraId="7F1F237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建立医养结合、精准服务的养老助残体系。加强养老服务设施建设，增加普惠性、护理型养老床位供给，培育一批城乡养老护理机构，逐步形成居家社区相衔接、医疗康养相结合的养老服务体系，打造社区“</w:t>
      </w: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分钟居家养老服务圈”，不断提升社会福利水平。改善提升农村养老服务，加快建设乡村两级居家养老服务中心，提升农村养老公共服务供给能力。</w:t>
      </w:r>
      <w:r>
        <w:rPr>
          <w:rFonts w:ascii="仿宋" w:hAnsi="仿宋" w:eastAsia="仿宋" w:cs="仿宋_GB2312"/>
          <w:kern w:val="0"/>
          <w:szCs w:val="32"/>
          <w:u w:val="none"/>
          <w:shd w:val="clear" w:color="auto" w:fill="FFFFFF"/>
        </w:rPr>
        <w:t>中心城区</w:t>
      </w:r>
      <w:r>
        <w:rPr>
          <w:rFonts w:hint="eastAsia" w:ascii="仿宋" w:hAnsi="仿宋" w:eastAsia="仿宋" w:cs="仿宋_GB2312"/>
          <w:kern w:val="0"/>
          <w:szCs w:val="32"/>
          <w:u w:val="none"/>
          <w:shd w:val="clear" w:color="auto" w:fill="FFFFFF"/>
        </w:rPr>
        <w:t>应配置护理型养老院，床位规模在</w:t>
      </w:r>
      <w:r>
        <w:rPr>
          <w:rFonts w:ascii="Times New Roman" w:hAnsi="Times New Roman" w:eastAsia="仿宋"/>
          <w:kern w:val="0"/>
          <w:szCs w:val="32"/>
          <w:u w:val="none"/>
          <w:shd w:val="clear" w:color="auto" w:fill="FFFFFF"/>
        </w:rPr>
        <w:t>300</w:t>
      </w:r>
      <w:r>
        <w:rPr>
          <w:rFonts w:hint="eastAsia" w:ascii="仿宋" w:hAnsi="仿宋" w:eastAsia="仿宋" w:cs="仿宋_GB2312"/>
          <w:kern w:val="0"/>
          <w:szCs w:val="32"/>
          <w:u w:val="none"/>
          <w:shd w:val="clear" w:color="auto" w:fill="FFFFFF"/>
        </w:rPr>
        <w:t>张以上，重点镇和一般镇应配有</w:t>
      </w:r>
      <w:r>
        <w:rPr>
          <w:rFonts w:ascii="Times New Roman" w:hAnsi="Times New Roman" w:eastAsia="仿宋"/>
          <w:kern w:val="0"/>
          <w:szCs w:val="32"/>
          <w:u w:val="none"/>
          <w:shd w:val="clear" w:color="auto" w:fill="FFFFFF"/>
        </w:rPr>
        <w:t>1</w:t>
      </w:r>
      <w:r>
        <w:rPr>
          <w:rFonts w:hint="eastAsia" w:ascii="仿宋" w:hAnsi="仿宋" w:eastAsia="仿宋" w:cs="仿宋_GB2312"/>
          <w:kern w:val="0"/>
          <w:szCs w:val="32"/>
          <w:u w:val="none"/>
          <w:shd w:val="clear" w:color="auto" w:fill="FFFFFF"/>
        </w:rPr>
        <w:t>处乡镇级敬老院。规划至</w:t>
      </w:r>
      <w:r>
        <w:rPr>
          <w:rFonts w:ascii="Times New Roman" w:hAnsi="Times New Roman" w:eastAsia="仿宋"/>
          <w:kern w:val="0"/>
          <w:szCs w:val="32"/>
          <w:u w:val="none"/>
          <w:shd w:val="clear" w:color="auto" w:fill="FFFFFF"/>
        </w:rPr>
        <w:t>2035</w:t>
      </w:r>
      <w:r>
        <w:rPr>
          <w:rFonts w:hint="eastAsia" w:ascii="仿宋" w:hAnsi="仿宋" w:eastAsia="仿宋" w:cs="仿宋_GB2312"/>
          <w:kern w:val="0"/>
          <w:szCs w:val="32"/>
          <w:u w:val="none"/>
          <w:shd w:val="clear" w:color="auto" w:fill="FFFFFF"/>
        </w:rPr>
        <w:t>年，每千名老年人</w:t>
      </w:r>
      <w:r>
        <w:rPr>
          <w:rFonts w:ascii="仿宋" w:hAnsi="仿宋" w:eastAsia="仿宋" w:cs="仿宋_GB2312"/>
          <w:kern w:val="0"/>
          <w:szCs w:val="32"/>
          <w:u w:val="none"/>
          <w:shd w:val="clear" w:color="auto" w:fill="FFFFFF"/>
        </w:rPr>
        <w:t>拥有</w:t>
      </w:r>
      <w:r>
        <w:rPr>
          <w:rFonts w:hint="eastAsia" w:ascii="仿宋" w:hAnsi="仿宋" w:eastAsia="仿宋" w:cs="仿宋_GB2312"/>
          <w:kern w:val="0"/>
          <w:szCs w:val="32"/>
          <w:u w:val="none"/>
          <w:shd w:val="clear" w:color="auto" w:fill="FFFFFF"/>
        </w:rPr>
        <w:t>养老床位数达到</w:t>
      </w:r>
      <w:r>
        <w:rPr>
          <w:rFonts w:ascii="Times New Roman" w:hAnsi="Times New Roman" w:eastAsia="仿宋"/>
          <w:kern w:val="0"/>
          <w:szCs w:val="32"/>
          <w:u w:val="none"/>
          <w:shd w:val="clear" w:color="auto" w:fill="FFFFFF"/>
        </w:rPr>
        <w:t>40</w:t>
      </w:r>
      <w:r>
        <w:rPr>
          <w:rFonts w:hint="eastAsia" w:ascii="仿宋" w:hAnsi="仿宋" w:eastAsia="仿宋" w:cs="仿宋_GB2312"/>
          <w:kern w:val="0"/>
          <w:szCs w:val="32"/>
          <w:u w:val="none"/>
          <w:shd w:val="clear" w:color="auto" w:fill="FFFFFF"/>
        </w:rPr>
        <w:t>床</w:t>
      </w:r>
      <w:r>
        <w:rPr>
          <w:rFonts w:ascii="仿宋" w:hAnsi="仿宋" w:eastAsia="仿宋" w:cs="仿宋_GB2312"/>
          <w:kern w:val="0"/>
          <w:szCs w:val="32"/>
          <w:u w:val="none"/>
          <w:shd w:val="clear" w:color="auto" w:fill="FFFFFF"/>
        </w:rPr>
        <w:t>以上</w:t>
      </w:r>
      <w:r>
        <w:rPr>
          <w:rFonts w:hint="eastAsia" w:ascii="仿宋" w:hAnsi="仿宋" w:eastAsia="仿宋" w:cs="仿宋_GB2312"/>
          <w:kern w:val="0"/>
          <w:szCs w:val="32"/>
          <w:u w:val="none"/>
          <w:shd w:val="clear" w:color="auto" w:fill="FFFFFF"/>
        </w:rPr>
        <w:t>。</w:t>
      </w:r>
      <w:r>
        <w:rPr>
          <w:rFonts w:ascii="仿宋" w:hAnsi="仿宋" w:eastAsia="仿宋" w:cs="仿宋_GB2312"/>
          <w:kern w:val="0"/>
          <w:szCs w:val="32"/>
          <w:shd w:val="clear" w:color="auto" w:fill="FFFFFF"/>
        </w:rPr>
        <w:t>重点推进崇阳县各乡镇福利院改扩建工程。</w:t>
      </w:r>
    </w:p>
    <w:p w14:paraId="55261084">
      <w:pPr>
        <w:pStyle w:val="4"/>
        <w:ind w:firstLine="640"/>
      </w:pPr>
      <w:r>
        <w:rPr>
          <w:rFonts w:hint="eastAsia"/>
        </w:rPr>
        <w:t>完善县域商业体系</w:t>
      </w:r>
    </w:p>
    <w:p w14:paraId="3876AFD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至</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实现中心城区有连锁商超和物流配送中心、乡镇有商贸中心、村村通快递的目标，以县乡村商业网络体系和农村物流配送“三点一线”为重点，以渠道下沉和农产品上行为主线，加快推动中心城区商业网点设施、功能业态、市场主体、消费环境、安全水平等的改造升级。县域建立中心城区为中心、乡镇为重点、村为基础的分工合理、布局完善的一体化中心城区商业网络体系。</w:t>
      </w:r>
    </w:p>
    <w:p w14:paraId="3790C22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分级打造商业节点。将中心城区打造成为县域消费升级的“排头兵”。鼓励大型商贸流通企业对中心城区购物中心、综合商贸中心城、大型连锁商超等现有商业网点改造升级，推动商旅文体业态集聚，提升综合服务能力，向乡镇和村庄延伸服务，带动乡村商业发展。</w:t>
      </w:r>
    </w:p>
    <w:p w14:paraId="66EE774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发挥乡镇承上启下、紧靠农村居民生活圈、服务农村常住人口的区域商业中心优势，引导连锁商贸流通企业采取自建、改造、股权合作等方式，对现有乡镇商业设施进行现代化改造，新建改造一批商贸中心、超市、餐饮等服务网点，改善乡镇集贸市场面貌，优化生活服务业供给，使乡镇基本能够满足周边居民的米面粮油、家居百货、农资，以及美容、美发、餐饮等一般性消费需要。</w:t>
      </w:r>
    </w:p>
    <w:p w14:paraId="760FD0A6">
      <w:pPr>
        <w:pStyle w:val="4"/>
        <w:ind w:firstLine="640"/>
      </w:pPr>
      <w:r>
        <w:rPr>
          <w:rFonts w:hint="eastAsia"/>
        </w:rPr>
        <w:t>殡葬服务设施规划</w:t>
      </w:r>
    </w:p>
    <w:p w14:paraId="0CE5868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各乡镇应按照基本需求，规划设立殡葬用地，科学统筹建设殡葬服务设施。</w:t>
      </w:r>
    </w:p>
    <w:p w14:paraId="11E77D7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崇阳县远期根据公益性公墓相关标准，将自然保护区、森林公园、湿地公园、城市公园、风景名胜区和文物保护区及边界外缘</w:t>
      </w:r>
      <w:r>
        <w:rPr>
          <w:rFonts w:ascii="Times New Roman" w:hAnsi="Times New Roman" w:eastAsia="仿宋"/>
          <w:kern w:val="0"/>
          <w:szCs w:val="32"/>
          <w:shd w:val="clear" w:color="auto" w:fill="FFFFFF"/>
        </w:rPr>
        <w:t>500</w:t>
      </w:r>
      <w:r>
        <w:rPr>
          <w:rFonts w:ascii="仿宋" w:hAnsi="仿宋" w:eastAsia="仿宋" w:cs="仿宋_GB2312"/>
          <w:kern w:val="0"/>
          <w:szCs w:val="32"/>
          <w:shd w:val="clear" w:color="auto" w:fill="FFFFFF"/>
        </w:rPr>
        <w:t>米；水库、河流堤坝附近和水源保护区及边界外缘</w:t>
      </w:r>
      <w:r>
        <w:rPr>
          <w:rFonts w:ascii="Times New Roman" w:hAnsi="Times New Roman" w:eastAsia="仿宋"/>
          <w:kern w:val="0"/>
          <w:szCs w:val="32"/>
          <w:shd w:val="clear" w:color="auto" w:fill="FFFFFF"/>
        </w:rPr>
        <w:t>500</w:t>
      </w:r>
      <w:r>
        <w:rPr>
          <w:rFonts w:ascii="仿宋" w:hAnsi="仿宋" w:eastAsia="仿宋" w:cs="仿宋_GB2312"/>
          <w:kern w:val="0"/>
          <w:szCs w:val="32"/>
          <w:shd w:val="clear" w:color="auto" w:fill="FFFFFF"/>
        </w:rPr>
        <w:t>米；铁路、公路主干线边界外缘</w:t>
      </w:r>
      <w:r>
        <w:rPr>
          <w:rFonts w:ascii="Times New Roman" w:hAnsi="Times New Roman" w:eastAsia="仿宋"/>
          <w:kern w:val="0"/>
          <w:szCs w:val="32"/>
          <w:shd w:val="clear" w:color="auto" w:fill="FFFFFF"/>
        </w:rPr>
        <w:t>500</w:t>
      </w:r>
      <w:r>
        <w:rPr>
          <w:rFonts w:ascii="仿宋" w:hAnsi="仿宋" w:eastAsia="仿宋" w:cs="仿宋_GB2312"/>
          <w:kern w:val="0"/>
          <w:szCs w:val="32"/>
          <w:shd w:val="clear" w:color="auto" w:fill="FFFFFF"/>
        </w:rPr>
        <w:t>米等作为公墓禁止建设区，在禁止建设区内不能进行公墓的规划选址，结合各镇区村庄人口的发展与规划情况，进行适当的选址与面积规划。严禁在耕地、林地、城市公园、风景名胜区和文物保护区、水库及河流堤坝附近和水源保护区等区域建设坟墓。</w:t>
      </w:r>
    </w:p>
    <w:p w14:paraId="17D0A3D9">
      <w:pPr>
        <w:pStyle w:val="4"/>
        <w:ind w:firstLine="640"/>
      </w:pPr>
      <w:r>
        <w:rPr>
          <w:rFonts w:hint="eastAsia"/>
        </w:rPr>
        <w:t>“平急两用”公共服务设施</w:t>
      </w:r>
    </w:p>
    <w:p w14:paraId="09AD20F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以“安全韧性、功能复合、快速响应”为核心目标，通过科学规划、政策创新和动态监管，科学布局应急医疗、物资储备、避难场所等设施，实现“平时服务、急时应急”的双重功能。至</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年，县域应急医疗和物资保障体系将更加健全，统筹重大突发公共事件应对和中心城区功能运转的基础更加坚实，“平急两用”公共服务设施体系全面形成。</w:t>
      </w:r>
    </w:p>
    <w:p w14:paraId="6AB12F7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完善应急储备体系。崇阳县布局应急保障中心</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处，位于崇阳县第一人民医院。依托县域人民医院、疾控中心、社区卫生服务中心、镇卫生院等建立县级卫生应急物资储备体系。规划新增应急救援装备物资储备中心及健康驿站，位于天城大道。平时作为物资储备库，急时可快速转换或临时避难场所，配备隔离区、物资分发通道等设施，满足“三区两通道”布局要求。于中心城区及乡镇布局应急医疗点，依托现有方舱医院提升应急医疗能力，通过城西客运中心规划预留应急医疗空间，与物流园区联动保障物资运输。规划于香山大道西侧预留战略留白用地作为“急时”战略留白空间。</w:t>
      </w:r>
    </w:p>
    <w:p w14:paraId="49F2C456">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776" w:name="_Toc789"/>
      <w:bookmarkStart w:id="777" w:name="_Toc17979"/>
      <w:bookmarkStart w:id="778" w:name="_Toc4556"/>
      <w:bookmarkStart w:id="779" w:name="_Toc30351"/>
      <w:bookmarkStart w:id="780" w:name="_Toc25152"/>
      <w:bookmarkStart w:id="781" w:name="_Toc8382"/>
      <w:bookmarkStart w:id="782" w:name="_Toc6408"/>
      <w:r>
        <w:rPr>
          <w:rFonts w:hint="eastAsia" w:ascii="黑体" w:hAnsi="黑体" w:cs="黑体"/>
          <w:bCs w:val="0"/>
        </w:rPr>
        <w:t>第三节 优化全域产业发展空间布局</w:t>
      </w:r>
      <w:bookmarkEnd w:id="776"/>
    </w:p>
    <w:p w14:paraId="3262845B">
      <w:pPr>
        <w:pStyle w:val="4"/>
        <w:ind w:firstLine="640"/>
      </w:pPr>
      <w:r>
        <w:rPr>
          <w:rFonts w:hint="eastAsia"/>
        </w:rPr>
        <w:t>构建“一轴两带四区、一核多点”产业总体布局</w:t>
      </w:r>
    </w:p>
    <w:p w14:paraId="35766B7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大力实施能级跨越战略，以结构合理化、产业融合化、服务高效化为导向，优化产业布局结构，以中心城区高新主导产业聚集区为主体，协同东部农旅融合发展区、北部林业生态涵养区、现代农业示范区、南部生态产业发展区等片区。以医药卫材、新型建材、机械电子、绿色钒产品精加工为引领，做强新型工业、做优特色农业、做活乡村旅游和现代服务业，形成上下游产品配套紧密、加工深度高、集约规模大、市场竞争力强的产业体系。</w:t>
      </w:r>
    </w:p>
    <w:p w14:paraId="5A7F89F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以国道</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为产业发展轴；以北部产业融合发展带及南部绿色产业发展带为两带；划分主导产业发展区、现代农业发展区、东部农旅融合发展区、南北部绿色产业发展区；以湖北崇阳经济开发区为主体，推进城南工业园、青山工业园、铜钟工业园发展，以白霓镇、肖岭乡农副产品加工基地及路口镇沙墩工业园为产业配套园区，构建“一核多点”的主导产业集聚核心区；推进县域整体构建“一轴两带四区、一核多点”产业发展格局优化。</w:t>
      </w:r>
    </w:p>
    <w:p w14:paraId="735AA404">
      <w:pPr>
        <w:pStyle w:val="4"/>
        <w:ind w:firstLine="640"/>
      </w:pPr>
      <w:r>
        <w:rPr>
          <w:rFonts w:hint="eastAsia"/>
        </w:rPr>
        <w:t>构建现代产业体系</w:t>
      </w:r>
    </w:p>
    <w:p w14:paraId="699D77EE">
      <w:pPr>
        <w:widowControl/>
        <w:shd w:val="clear" w:color="auto" w:fill="FFFFFF"/>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lang w:bidi="ar"/>
        </w:rPr>
        <w:t>综合分析现有产业优势、发展机遇等因素。通过传统产业绿色发展、特色产业集群发展、新型产业培育发展等方式，发展医药卫材、新型建材、机械电子、绿色钒产品精加工四大主导产业。积极壮大食品加工、新能源、大健康等产业，构建“</w:t>
      </w:r>
      <w:r>
        <w:rPr>
          <w:rFonts w:ascii="Times New Roman" w:hAnsi="Times New Roman" w:eastAsia="仿宋"/>
          <w:kern w:val="0"/>
          <w:szCs w:val="32"/>
          <w:shd w:val="clear" w:color="auto" w:fill="FFFFFF"/>
          <w:lang w:bidi="ar"/>
        </w:rPr>
        <w:t>4</w:t>
      </w:r>
      <w:r>
        <w:rPr>
          <w:rFonts w:ascii="仿宋" w:hAnsi="仿宋" w:eastAsia="仿宋" w:cs="仿宋_GB2312"/>
          <w:kern w:val="0"/>
          <w:szCs w:val="32"/>
          <w:shd w:val="clear" w:color="auto" w:fill="FFFFFF"/>
          <w:lang w:bidi="ar"/>
        </w:rPr>
        <w:t>+</w:t>
      </w:r>
      <w:r>
        <w:rPr>
          <w:rFonts w:ascii="Times New Roman" w:hAnsi="Times New Roman" w:eastAsia="仿宋"/>
          <w:kern w:val="0"/>
          <w:szCs w:val="32"/>
          <w:shd w:val="clear" w:color="auto" w:fill="FFFFFF"/>
          <w:lang w:bidi="ar"/>
        </w:rPr>
        <w:t>3</w:t>
      </w:r>
      <w:r>
        <w:rPr>
          <w:rFonts w:ascii="仿宋" w:hAnsi="仿宋" w:eastAsia="仿宋" w:cs="仿宋_GB2312"/>
          <w:kern w:val="0"/>
          <w:szCs w:val="32"/>
          <w:shd w:val="clear" w:color="auto" w:fill="FFFFFF"/>
          <w:lang w:bidi="ar"/>
        </w:rPr>
        <w:t>”高质量发展产业体系。</w:t>
      </w:r>
    </w:p>
    <w:p w14:paraId="0791ACF5">
      <w:pPr>
        <w:widowControl/>
        <w:shd w:val="clear" w:color="auto" w:fill="FFFFFF"/>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lang w:bidi="ar"/>
        </w:rPr>
        <w:t>构建循环集约的绿色产业体系。立足做强绿色低碳制造业、壮大绿色低碳服务业、培育绿色循环产业三个维度，发展新能源产业、节能环保产业、绿色建设产业、绿色物流产业、绿色第三方服务业、城市静脉产业等产业形态，全面提升绿色产品供给水平，促进绿色经济发展。建立低端低效产业限期退出机制，严格限制劳动密集型产业、高污染产业、高耗能产业、产能过剩产业等引入。立足崇阳产业发展现状，分区制定产业发展负面清单，提高产业准入门槛，引导资源向绿色高效集约方向聚集。</w:t>
      </w:r>
    </w:p>
    <w:p w14:paraId="756A2803">
      <w:pPr>
        <w:pStyle w:val="4"/>
        <w:ind w:firstLine="640"/>
      </w:pPr>
      <w:r>
        <w:rPr>
          <w:rFonts w:hint="eastAsia"/>
        </w:rPr>
        <w:t>产业发展空间指引</w:t>
      </w:r>
    </w:p>
    <w:p w14:paraId="7095B9F7">
      <w:pPr>
        <w:widowControl/>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lang w:bidi="ar"/>
        </w:rPr>
        <w:t>产业园区布局。按照生态、绿色、环保的要求，聚集优势产业，改进绿色生产方式，巩固行业领先地位，引导工业用地向园区集中布局。以崇阳县经济开发区为核心，铜钟工业园、青山工业园、沙墩工业园、白霓工业园、肖岭工业园等为节点，构建“一核多点”产业园区布局结构。崇阳经济开发区重点聚焦医药卫材、机械电子、绿色钒产品精加工等产业。推动生产方式向制造智能化、能源生态化、空间集约化方向发展，提高工业用地准入标准，推进高污染、高能耗、低效益的工业用地转型和退出，重点建设全国公共卫生应急物资保障基地、电路及电子元器件产业区、绿色钒产业集群。青山工业园重点聚焦医药卫材、电子机械等产业，强化绿色转型升级，兼顾环境保护协调发展。铜钟工业园聚焦食品加工业，建设</w:t>
      </w:r>
      <w:r>
        <w:rPr>
          <w:rFonts w:ascii="仿宋" w:hAnsi="仿宋" w:eastAsia="仿宋" w:cs="仿宋_GB2312"/>
          <w:kern w:val="0"/>
          <w:szCs w:val="32"/>
          <w:shd w:val="clear" w:color="auto" w:fill="FFFFFF"/>
        </w:rPr>
        <w:t>绿色循环经济产业示范园。白霓工业园及肖岭工业园聚焦食品加工及农产品加工，促进区域一二三产业融合发展。沙墩工业园聚焦新型建材产业，</w:t>
      </w:r>
      <w:r>
        <w:rPr>
          <w:rFonts w:ascii="仿宋" w:hAnsi="仿宋" w:eastAsia="仿宋" w:cs="仿宋_GB2312"/>
          <w:kern w:val="0"/>
          <w:szCs w:val="32"/>
          <w:shd w:val="clear" w:color="auto" w:fill="FFFFFF"/>
          <w:lang w:bidi="ar"/>
        </w:rPr>
        <w:t>以传统建材龙头企业为引领，逐步发展新材料、节能环保等新型建材。</w:t>
      </w:r>
    </w:p>
    <w:p w14:paraId="432F8BA5">
      <w:pPr>
        <w:widowControl/>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lang w:bidi="ar"/>
        </w:rPr>
        <w:t>大健康产业布局。建立“一核二带四区”大健康产业布局。发挥资源优势，围绕“医、药、养、健、游、护”六要素，集中发展大健康产业，建立“一核二带四区”的全域康养城市。以中心城区为核心，重点发展医养结合与体育健身产业核心区、医药卫材和食品饮品产业集聚区；以交通为纽带，重点发展幕阜山旅游公路沿线康养产业带、隽水河沿线康养产业带；以国家级公园为依托，重点发展青山国家湿地公园康养示范区、崇阳国家级森林公园康养示范区、雨山国家级石漠公园康养示范区、金沙运动健康休闲区。</w:t>
      </w:r>
    </w:p>
    <w:p w14:paraId="58F70DAD">
      <w:pPr>
        <w:widowControl/>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lang w:bidi="ar"/>
        </w:rPr>
        <w:t>清洁能源布局。重点于大幕山、幕阜山区域大力发展太阳能、水电、风能、低碳经济为特色的新能源产业，完善新能源产业布局。加快建设土桥抽水蓄能电站、大湖山风力发电、罗家山风电、金沙风电、白崖山风电项目、中节能太阳能项目、华能清洁能源百万基地等项目建设；引进拓展光伏产业，培育新的工业经济增长点，发挥电网资源配置平台作用，加快构建储能体系，提高就地消纳能力。</w:t>
      </w:r>
    </w:p>
    <w:p w14:paraId="3FD83EBD">
      <w:pPr>
        <w:pStyle w:val="4"/>
        <w:ind w:firstLine="640"/>
      </w:pPr>
      <w:r>
        <w:rPr>
          <w:rFonts w:hint="eastAsia"/>
        </w:rPr>
        <w:t>推进现代服务业提容提质</w:t>
      </w:r>
    </w:p>
    <w:p w14:paraId="5278881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优化提升商贸流通业。优化商贸流通业布局结构。重点提升优化以</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国道为沿线的商贸带，重点建设以天城中心城区（融入铜钟乡）为重点中心商贸区，以白霓镇、石城镇、沙坪镇、青山镇为辅的卫星商贸区，着力建设路口镇、金塘镇、港口乡、高枧乡、肖岭乡、桂花泉镇的边贸口子商贸区。完善商品流通体系，优化商业网点布局，加快县域现有商业网点改造升级，支持县内各品牌超市集团化抱团发展，支持农超对接，促进商品快速流通。</w:t>
      </w:r>
    </w:p>
    <w:p w14:paraId="07E9AA8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积极发展现代物流业。完善物流供应链、提升价值增值链为目标，以建设“物流园区－物流（配送）中心－镇域物流综合服务站”的三级结构模式为核心的物流节点网络，保证全县物流的畅通无阻，将崇阳建设成为湘鄂赣边区物流中心，形成城乡互动、县内县外互联的物流新格局。打造建设现代物流园区，建设一个综合物流园，五个专业性物流中心、十二个乡镇物流综合服务站，形成高时效性的货运通道网络、现代物流配送体系。</w:t>
      </w:r>
    </w:p>
    <w:p w14:paraId="7A0C914B">
      <w:pPr>
        <w:pStyle w:val="4"/>
        <w:ind w:firstLine="640"/>
      </w:pPr>
      <w:r>
        <w:rPr>
          <w:rFonts w:hint="eastAsia"/>
        </w:rPr>
        <w:t>积极探索数字经济产业发展</w:t>
      </w:r>
    </w:p>
    <w:p w14:paraId="553D862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加快发展数字经济促进产业园区升级。以创新应用为核心探索崇阳特色的信息化路径，促进数字经济和实体经济深度融合，提升信息化带动新型城镇化、新型工业化和农业现代化的能力。</w:t>
      </w:r>
    </w:p>
    <w:p w14:paraId="11F1944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培育智慧健康新产品新业态，谋划数字健康产业园。以智慧城市建设为契机，以数字科技为手段，抓住国家</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G网络部署机遇，坚持智慧健康既是大健康的基础又是引领的产业定位，以“资源数字化、数字产业化、产业数字化”为主线，充分运用云计算、物联网、大数据、人工智能等新一代信息技术，加快全民健康信息整合共享和智能应用，促进健康大数据应用发展，不断创新“互联网+健康”服务新模式、新业态，建立完善智慧健康产业体系。</w:t>
      </w:r>
    </w:p>
    <w:p w14:paraId="4CCCE10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重点依托经济开发区，引进和培育一批数字化健康医疗智能设备研发制造和健康软件、健康信息服务领域企业，打造一批特色健康数字经济基地，成为推进产业园区新旧动能转换推进器。预留城西产业发展空间，以大数据健康医疗产业为主导的数字经济产业园，建设成为中心城区核心发展区域。</w:t>
      </w:r>
    </w:p>
    <w:p w14:paraId="7EA490C2">
      <w:pPr>
        <w:pStyle w:val="4"/>
        <w:ind w:firstLine="640"/>
      </w:pPr>
      <w:r>
        <w:rPr>
          <w:rFonts w:hint="eastAsia"/>
        </w:rPr>
        <w:t>工业用地控制线</w:t>
      </w:r>
    </w:p>
    <w:p w14:paraId="56D532E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遵循总量控制、严守底线、分类定策、提质增效的原则，划定工业用地控制线，保障工业发展空间，强化土地要素保障，促进工业经济平稳增长。优先将已批复的崇阳县经济开发区内的工业用地划入工业用地控制</w:t>
      </w:r>
      <w:r>
        <w:rPr>
          <w:rFonts w:hint="eastAsia" w:ascii="仿宋" w:hAnsi="仿宋" w:eastAsia="仿宋" w:cs="仿宋_GB2312"/>
          <w:kern w:val="0"/>
          <w:szCs w:val="32"/>
          <w:shd w:val="clear" w:color="auto" w:fill="FFFFFF"/>
        </w:rPr>
        <w:t>线</w:t>
      </w:r>
      <w:r>
        <w:rPr>
          <w:rFonts w:ascii="仿宋" w:hAnsi="仿宋" w:eastAsia="仿宋" w:cs="仿宋_GB2312"/>
          <w:kern w:val="0"/>
          <w:szCs w:val="32"/>
          <w:shd w:val="clear" w:color="auto" w:fill="FFFFFF"/>
        </w:rPr>
        <w:t>，明确工业用途转换负面清单，稳定工业用地总量。充分保障全县工业长远发展的工业用地管理底线，产业园区内控制线内预留产城融合发展必要的市政基础设施、生产生活服务设施。</w:t>
      </w:r>
    </w:p>
    <w:p w14:paraId="5E52A887">
      <w:pPr>
        <w:pStyle w:val="4"/>
        <w:ind w:firstLine="640"/>
        <w:rPr>
          <w:lang w:bidi="ar"/>
        </w:rPr>
      </w:pPr>
      <w:r>
        <w:rPr>
          <w:rFonts w:hint="eastAsia"/>
        </w:rPr>
        <w:t>产业用地供应保障</w:t>
      </w:r>
    </w:p>
    <w:p w14:paraId="085BD1AE">
      <w:pPr>
        <w:widowControl/>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lang w:bidi="ar"/>
        </w:rPr>
        <w:t>充分考虑产业发展需求，优化产业用地供应，衔接生态环境准入清单，优先保障重点产业园区和重大产业项目用地需求。引导工业项目向产业园区集聚，鼓励土地混合开发和空间复合利用。</w:t>
      </w:r>
    </w:p>
    <w:p w14:paraId="7E31FE8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lang w:bidi="ar"/>
        </w:rPr>
        <w:t>探索重点工业园区企业投资工业项目“标准地”和土地弹性年期出制度，构建公开透明、规范高效的新型土地出让模式。推进工业用地节约集约利用，基于产业发展、企业未来发展储备产业和产能空间。探索构建工业用地“进入-开发-退出-再开发-再退出”的全过程生命周期动态管理机制，完善闲置用地和低效用地退出机制，加强建设用地批后监管，注重把控工业项目质量和建设进度、扩大厂房规模等多种方式，对已供建设用地项目中的闲置土地项目以及投资强度低、建设进展慢、低效益、无发展潜力的项目进行清理，不断提高节约集约用地土地水平。</w:t>
      </w:r>
    </w:p>
    <w:p w14:paraId="531E7187">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783" w:name="_Toc19551"/>
      <w:r>
        <w:rPr>
          <w:rFonts w:hint="eastAsia" w:ascii="黑体" w:hAnsi="黑体" w:cs="黑体"/>
          <w:bCs w:val="0"/>
        </w:rPr>
        <w:t>第四节 节约高效利用土地资源</w:t>
      </w:r>
      <w:bookmarkEnd w:id="783"/>
    </w:p>
    <w:p w14:paraId="70A39959">
      <w:pPr>
        <w:pStyle w:val="4"/>
        <w:ind w:firstLine="640"/>
      </w:pPr>
      <w:r>
        <w:rPr>
          <w:rFonts w:hint="eastAsia"/>
        </w:rPr>
        <w:t>存量建设用地盘活指引及机制</w:t>
      </w:r>
    </w:p>
    <w:p w14:paraId="75285BC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按照“控制总量、盘活存量、用好流量”的原则，充分盘活利用存量建设用地，合理安排新增与存量用地供给结构和方向。以提升城市发展竞争力和可持续发展能力为主线，积极推进老城区、城中村、棚户区、旧工厂等城镇低效建设用地的改造开发，对存量建设用地进行集中盘活挂钩，重点做好基础设施落后、人居环境恶劣、畸零细碎或与城镇功能定位不符区域的更新改造，落实建设用地“增存挂钩”机制，在县域范围内统筹增量和存量建设用地。</w:t>
      </w:r>
    </w:p>
    <w:p w14:paraId="20AB6D70">
      <w:pPr>
        <w:widowControl/>
        <w:spacing w:line="560" w:lineRule="exact"/>
        <w:ind w:firstLine="640"/>
        <w:jc w:val="both"/>
        <w:rPr>
          <w:rFonts w:ascii="仿宋" w:hAnsi="仿宋" w:eastAsia="仿宋" w:cs="仿宋_GB2312"/>
          <w:kern w:val="0"/>
          <w:szCs w:val="32"/>
          <w:u w:val="single"/>
          <w:shd w:val="clear" w:color="auto" w:fill="FFFFFF"/>
        </w:rPr>
      </w:pPr>
      <w:r>
        <w:rPr>
          <w:rFonts w:ascii="仿宋" w:hAnsi="仿宋" w:eastAsia="仿宋" w:cs="仿宋_GB2312"/>
          <w:kern w:val="0"/>
          <w:szCs w:val="32"/>
          <w:shd w:val="clear" w:color="auto" w:fill="FFFFFF"/>
          <w:lang w:bidi="ar"/>
        </w:rPr>
        <w:t>新增建设用地指标优先保障水利、交通、能源等重点基础设施用地，实施高效集约的TOD综合开发，提高城际铁路交通站点地区的土地开发强度，提高土地利用效益</w:t>
      </w:r>
      <w:r>
        <w:rPr>
          <w:rFonts w:hint="eastAsia" w:ascii="仿宋" w:hAnsi="仿宋" w:eastAsia="仿宋" w:cs="仿宋_GB2312"/>
          <w:kern w:val="0"/>
          <w:szCs w:val="32"/>
          <w:u w:val="none"/>
          <w:shd w:val="clear" w:color="auto" w:fill="FFFFFF"/>
          <w:lang w:bidi="ar"/>
        </w:rPr>
        <w:t>。</w:t>
      </w:r>
    </w:p>
    <w:p w14:paraId="6C4FFAE3">
      <w:pPr>
        <w:pStyle w:val="4"/>
        <w:ind w:firstLine="640"/>
      </w:pPr>
      <w:r>
        <w:rPr>
          <w:rFonts w:hint="eastAsia"/>
        </w:rPr>
        <w:t>城镇低效建设用地整治</w:t>
      </w:r>
    </w:p>
    <w:p w14:paraId="3A2239E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整治工矿废弃地，有效盘活存量闲置和低效用地，增加建设用地有效供给。通过对工矿废弃地场地平整、污染治理、复垦绿化、林木种植等措施，恢复其生态功能，置换建设用地指标，用于新增建设用地。工业园区结合产业发展重点，通过兼并重组、协商收回、“以工改工”、收购储备等方式，明确正负面清单及准入门槛，内培外引，推进工业用地有效集约利用；采取拆旧建新、拆低建高的方式进行升级改</w:t>
      </w:r>
      <w:r>
        <w:rPr>
          <w:rFonts w:hint="eastAsia" w:ascii="仿宋" w:hAnsi="仿宋" w:eastAsia="仿宋" w:cs="仿宋_GB2312"/>
          <w:kern w:val="0"/>
          <w:szCs w:val="32"/>
          <w:shd w:val="clear" w:color="auto" w:fill="FFFFFF"/>
        </w:rPr>
        <w:t>造和</w:t>
      </w:r>
      <w:r>
        <w:rPr>
          <w:rFonts w:ascii="仿宋" w:hAnsi="仿宋" w:eastAsia="仿宋" w:cs="仿宋_GB2312"/>
          <w:kern w:val="0"/>
          <w:szCs w:val="32"/>
          <w:shd w:val="clear" w:color="auto" w:fill="FFFFFF"/>
        </w:rPr>
        <w:t>二次开发，置换功能，缓解产业用地供需矛盾。重点统筹推进产城融合，通过对城郊融合类村庄进行整理，引导居民向城镇建成区集聚，为中心城区拓展留足发展空间。规划期内，按照“先易后难、逐步推进”原则，合理安排再开发时序，开展闲置土地整治、低效用地整治。</w:t>
      </w:r>
    </w:p>
    <w:p w14:paraId="620FFB41">
      <w:pPr>
        <w:widowControl/>
        <w:spacing w:line="560" w:lineRule="exact"/>
        <w:ind w:firstLine="640"/>
        <w:jc w:val="both"/>
        <w:rPr>
          <w:rFonts w:ascii="黑体" w:hAnsi="黑体" w:eastAsia="黑体" w:cs="方正小标宋_GBK"/>
          <w:sz w:val="36"/>
          <w:szCs w:val="36"/>
        </w:rPr>
      </w:pPr>
      <w:r>
        <w:rPr>
          <w:rFonts w:ascii="仿宋" w:hAnsi="仿宋" w:eastAsia="仿宋" w:cs="仿宋_GB2312"/>
          <w:kern w:val="0"/>
          <w:szCs w:val="32"/>
          <w:shd w:val="clear" w:color="auto" w:fill="FFFFFF"/>
        </w:rPr>
        <w:t>以基础配套设施较好、容易开发、符合规划的片区，优先安排开发建设的原则。重点对县域低效用地再开发</w:t>
      </w:r>
      <w:r>
        <w:rPr>
          <w:rFonts w:hint="eastAsia" w:ascii="仿宋" w:hAnsi="仿宋" w:eastAsia="仿宋" w:cs="仿宋_GB2312"/>
          <w:kern w:val="0"/>
          <w:szCs w:val="32"/>
          <w:shd w:val="clear" w:color="auto" w:fill="FFFFFF"/>
          <w:lang w:eastAsia="zh-CN"/>
        </w:rPr>
        <w:t>。</w:t>
      </w:r>
    </w:p>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7"/>
    <w:bookmarkEnd w:id="778"/>
    <w:bookmarkEnd w:id="779"/>
    <w:bookmarkEnd w:id="780"/>
    <w:bookmarkEnd w:id="781"/>
    <w:bookmarkEnd w:id="782"/>
    <w:p w14:paraId="42187243">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bookmarkStart w:id="784" w:name="_Toc2447"/>
      <w:bookmarkStart w:id="785" w:name="_Toc927"/>
      <w:bookmarkStart w:id="786" w:name="_Toc26700"/>
      <w:bookmarkStart w:id="787" w:name="_Toc18040"/>
      <w:bookmarkStart w:id="788" w:name="_Toc2384"/>
      <w:bookmarkStart w:id="789" w:name="_Toc17389"/>
      <w:bookmarkStart w:id="790" w:name="_Toc2024"/>
      <w:bookmarkStart w:id="791" w:name="_Toc7587"/>
      <w:bookmarkStart w:id="792" w:name="_Toc3270"/>
      <w:bookmarkStart w:id="793" w:name="_Toc13250"/>
      <w:bookmarkStart w:id="794" w:name="_Toc138866810"/>
      <w:bookmarkStart w:id="795" w:name="_Toc20987"/>
      <w:bookmarkStart w:id="796" w:name="_Toc8147"/>
      <w:bookmarkStart w:id="797" w:name="_Toc31990"/>
      <w:bookmarkStart w:id="798" w:name="_Toc25749"/>
      <w:bookmarkStart w:id="799" w:name="_Toc12107"/>
      <w:bookmarkStart w:id="800" w:name="_Toc6174"/>
      <w:bookmarkStart w:id="801" w:name="_Toc5551"/>
      <w:bookmarkStart w:id="802" w:name="_Toc21000"/>
      <w:bookmarkStart w:id="803" w:name="_Toc9307"/>
      <w:bookmarkStart w:id="804" w:name="_Toc4502"/>
      <w:bookmarkStart w:id="805" w:name="_Toc3909"/>
      <w:bookmarkStart w:id="806" w:name="_Toc138867001"/>
      <w:bookmarkStart w:id="807" w:name="_Toc14685"/>
      <w:bookmarkStart w:id="808" w:name="_Toc14158"/>
      <w:r>
        <w:rPr>
          <w:rFonts w:ascii="黑体" w:hAnsi="黑体" w:eastAsia="黑体" w:cs="方正小标宋_GBK"/>
          <w:bCs w:val="0"/>
          <w:szCs w:val="36"/>
        </w:rPr>
        <w:br w:type="page"/>
      </w:r>
      <w:r>
        <w:rPr>
          <w:rFonts w:hint="eastAsia" w:ascii="黑体" w:hAnsi="黑体" w:eastAsia="黑体" w:cs="方正小标宋_GBK"/>
          <w:bCs w:val="0"/>
          <w:szCs w:val="36"/>
        </w:rPr>
        <w:t>第七章 中心城区规划</w:t>
      </w:r>
      <w:bookmarkEnd w:id="784"/>
    </w:p>
    <w:p w14:paraId="182F232B">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809" w:name="_Toc12041"/>
      <w:r>
        <w:rPr>
          <w:rFonts w:hint="eastAsia" w:ascii="黑体" w:hAnsi="黑体" w:cs="黑体"/>
          <w:bCs w:val="0"/>
        </w:rPr>
        <w:t>第一节 中心城区范围与规模</w:t>
      </w:r>
      <w:bookmarkEnd w:id="809"/>
    </w:p>
    <w:p w14:paraId="65789F1D">
      <w:pPr>
        <w:pStyle w:val="4"/>
        <w:ind w:firstLine="640"/>
      </w:pPr>
      <w:r>
        <w:rPr>
          <w:rFonts w:hint="eastAsia"/>
        </w:rPr>
        <w:t>中心城区范围及规模</w:t>
      </w:r>
    </w:p>
    <w:p w14:paraId="4D0224EE">
      <w:pPr>
        <w:ind w:left="143" w:firstLine="640"/>
        <w:jc w:val="both"/>
        <w:rPr>
          <w:rFonts w:ascii="仿宋" w:hAnsi="仿宋" w:eastAsia="仿宋"/>
          <w:shd w:val="clear" w:color="auto" w:fill="FFFFFF"/>
        </w:rPr>
      </w:pPr>
      <w:bookmarkStart w:id="810" w:name="OLE_LINK70"/>
      <w:r>
        <w:rPr>
          <w:rFonts w:ascii="仿宋" w:hAnsi="仿宋" w:eastAsia="仿宋" w:cs="仿宋_GB2312"/>
          <w:kern w:val="0"/>
          <w:szCs w:val="32"/>
          <w:shd w:val="clear" w:color="auto" w:fill="FFFFFF"/>
        </w:rPr>
        <w:t>中心城区规划范围主要涉及天城镇、青山镇、铜钟乡等区域，包括天城镇南部（鹿门铺、山下、七星、龙背、环城、香山、白泉、蛤蟆石、谢家坳、陈河水、中津、下津、渣冲、肥塘、渣桥等行政村及社区，青山镇北部（雷骆村、长林村等部分区域），铜钟乡工业园，白霓镇部分区域（小港村）。东至隽水河，南至杭瑞高速，西至寺前村，北至鹿门铺村省道</w:t>
      </w:r>
      <w:r>
        <w:rPr>
          <w:rFonts w:ascii="Times New Roman" w:hAnsi="Times New Roman" w:eastAsia="仿宋"/>
          <w:kern w:val="0"/>
          <w:szCs w:val="32"/>
          <w:shd w:val="clear" w:color="auto" w:fill="FFFFFF"/>
        </w:rPr>
        <w:t>319</w:t>
      </w:r>
      <w:r>
        <w:rPr>
          <w:rFonts w:ascii="仿宋" w:hAnsi="仿宋" w:eastAsia="仿宋" w:cs="仿宋_GB2312"/>
          <w:kern w:val="0"/>
          <w:szCs w:val="32"/>
          <w:shd w:val="clear" w:color="auto" w:fill="FFFFFF"/>
        </w:rPr>
        <w:t>。</w:t>
      </w:r>
    </w:p>
    <w:bookmarkEnd w:id="810"/>
    <w:p w14:paraId="087442DE">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811" w:name="_Toc28392"/>
      <w:r>
        <w:rPr>
          <w:rFonts w:hint="eastAsia" w:ascii="黑体" w:hAnsi="黑体" w:cs="黑体"/>
          <w:bCs w:val="0"/>
        </w:rPr>
        <w:t>第二节 中心城区空间结构及用地布局优化</w:t>
      </w:r>
      <w:bookmarkEnd w:id="811"/>
    </w:p>
    <w:p w14:paraId="771640E9">
      <w:pPr>
        <w:pStyle w:val="4"/>
        <w:ind w:firstLine="640"/>
      </w:pPr>
      <w:r>
        <w:rPr>
          <w:rFonts w:hint="eastAsia"/>
        </w:rPr>
        <w:t>发展方向</w:t>
      </w:r>
    </w:p>
    <w:p w14:paraId="27AE35BA">
      <w:pPr>
        <w:widowControl/>
        <w:ind w:left="143" w:firstLine="640"/>
        <w:jc w:val="both"/>
        <w:rPr>
          <w:rFonts w:ascii="Times New Roman" w:hAnsi="Times New Roman" w:eastAsia="仿宋"/>
          <w:kern w:val="0"/>
          <w:szCs w:val="32"/>
          <w:shd w:val="clear" w:color="auto" w:fill="FFFFFF"/>
        </w:rPr>
      </w:pPr>
      <w:r>
        <w:rPr>
          <w:rFonts w:ascii="Times New Roman" w:hAnsi="Times New Roman" w:eastAsia="仿宋"/>
          <w:kern w:val="0"/>
          <w:szCs w:val="32"/>
          <w:shd w:val="clear" w:color="auto" w:fill="FFFFFF"/>
        </w:rPr>
        <w:t>完善中心城区空间发展骨架，城市发展方向“东扩西延、中优南融”。高质量推动崇阳中心城区发展，落实融入武汉都市圈战略，向东扩展建设生态康养宜居片区，向西对城西新城进行延伸，城中老城区组团以城市更新优化为主，南融着力提升城南经济开发区建设，有序推进崇阳中心城区与周边县市特色产业集群（基地）建设，并加强城南开发区产城融合发展，促进中心城区空间有机延展，推动新老城区组团连片发展。</w:t>
      </w:r>
    </w:p>
    <w:p w14:paraId="72D77694">
      <w:pPr>
        <w:pStyle w:val="4"/>
        <w:ind w:firstLine="640"/>
      </w:pPr>
      <w:r>
        <w:rPr>
          <w:rFonts w:hint="eastAsia"/>
        </w:rPr>
        <w:t>中心城区空间结构</w:t>
      </w:r>
    </w:p>
    <w:p w14:paraId="5843EF8F">
      <w:pPr>
        <w:widowControl/>
        <w:ind w:left="143" w:firstLine="640"/>
        <w:jc w:val="both"/>
        <w:rPr>
          <w:rFonts w:ascii="Times New Roman" w:hAnsi="Times New Roman" w:eastAsia="仿宋"/>
          <w:kern w:val="0"/>
          <w:szCs w:val="32"/>
          <w:shd w:val="clear" w:color="auto" w:fill="FFFFFF"/>
        </w:rPr>
      </w:pPr>
      <w:r>
        <w:rPr>
          <w:rFonts w:ascii="Times New Roman" w:hAnsi="Times New Roman" w:eastAsia="仿宋"/>
          <w:kern w:val="0"/>
          <w:szCs w:val="32"/>
          <w:shd w:val="clear" w:color="auto" w:fill="FFFFFF"/>
        </w:rPr>
        <w:t>综合崇阳县中心城区的发展条件、发展方向，采用集中分散策略，形成以隽水河为贯穿城市南北的生态廊道，向南以工业为主的新城区。各组团内道路自成体系，组团之间通过快速通道进行联系，同时对水体进行整治，加强组团内各片区环境的营造，提升城市品质，优化城市功能，规划形成“四轴、六区、多节点”的空间结构。</w:t>
      </w:r>
    </w:p>
    <w:p w14:paraId="5D7BBFC4">
      <w:pPr>
        <w:widowControl/>
        <w:ind w:left="143" w:firstLine="640"/>
        <w:jc w:val="both"/>
        <w:rPr>
          <w:rFonts w:ascii="Times New Roman" w:hAnsi="Times New Roman" w:eastAsia="仿宋"/>
          <w:kern w:val="0"/>
          <w:szCs w:val="32"/>
          <w:shd w:val="clear" w:color="auto" w:fill="FFFFFF"/>
        </w:rPr>
      </w:pPr>
      <w:r>
        <w:rPr>
          <w:rFonts w:ascii="Times New Roman" w:hAnsi="Times New Roman" w:eastAsia="仿宋"/>
          <w:kern w:val="0"/>
          <w:szCs w:val="32"/>
          <w:shd w:val="clear" w:color="auto" w:fill="FFFFFF"/>
        </w:rPr>
        <w:t>四轴：文昌大道城市功能联系轴；以金城大道的城市产业联系轴；以人民大道沿线的城市服务轴；天城大道城市形象展示轴；</w:t>
      </w:r>
    </w:p>
    <w:p w14:paraId="53950E20">
      <w:pPr>
        <w:widowControl/>
        <w:ind w:left="143" w:firstLine="640"/>
        <w:jc w:val="both"/>
        <w:rPr>
          <w:rFonts w:ascii="Times New Roman" w:hAnsi="Times New Roman" w:eastAsia="仿宋"/>
          <w:kern w:val="0"/>
          <w:szCs w:val="32"/>
          <w:shd w:val="clear" w:color="auto" w:fill="FFFFFF"/>
        </w:rPr>
      </w:pPr>
      <w:r>
        <w:rPr>
          <w:rFonts w:ascii="Times New Roman" w:hAnsi="Times New Roman" w:eastAsia="仿宋"/>
          <w:kern w:val="0"/>
          <w:szCs w:val="32"/>
          <w:shd w:val="clear" w:color="auto" w:fill="FFFFFF"/>
        </w:rPr>
        <w:t>六区：包括：城中综合服务片区、城西高品质生活片区、城北行政服务片区、城南产城融合片区、城东生态宜居片区及战略预留发展片区；</w:t>
      </w:r>
    </w:p>
    <w:p w14:paraId="1FFB260F">
      <w:pPr>
        <w:widowControl/>
        <w:ind w:left="143" w:firstLine="640"/>
        <w:jc w:val="both"/>
        <w:rPr>
          <w:rFonts w:ascii="Times New Roman" w:hAnsi="Times New Roman" w:eastAsia="仿宋"/>
          <w:kern w:val="0"/>
          <w:szCs w:val="32"/>
          <w:shd w:val="clear" w:color="auto" w:fill="FFFFFF"/>
        </w:rPr>
      </w:pPr>
      <w:r>
        <w:rPr>
          <w:rFonts w:ascii="Times New Roman" w:hAnsi="Times New Roman" w:eastAsia="仿宋"/>
          <w:kern w:val="0"/>
          <w:szCs w:val="32"/>
          <w:shd w:val="clear" w:color="auto" w:fill="FFFFFF"/>
        </w:rPr>
        <w:t>多节点：包括行政服务中心、产业服务中心、商业服务中心。</w:t>
      </w:r>
    </w:p>
    <w:p w14:paraId="2DE5E8A6">
      <w:pPr>
        <w:pStyle w:val="4"/>
        <w:ind w:firstLine="640"/>
      </w:pPr>
      <w:r>
        <w:rPr>
          <w:rFonts w:hint="eastAsia"/>
        </w:rPr>
        <w:t>中心城区规划分区</w:t>
      </w:r>
    </w:p>
    <w:p w14:paraId="019411A6">
      <w:pPr>
        <w:widowControl/>
        <w:spacing w:line="560" w:lineRule="exact"/>
        <w:ind w:firstLine="640"/>
        <w:jc w:val="both"/>
        <w:rPr>
          <w:rFonts w:ascii="Times New Roman" w:hAnsi="Times New Roman" w:eastAsia="仿宋"/>
          <w:kern w:val="0"/>
          <w:szCs w:val="32"/>
          <w:shd w:val="clear" w:color="auto" w:fill="FFFFFF"/>
        </w:rPr>
      </w:pPr>
      <w:r>
        <w:rPr>
          <w:rFonts w:ascii="Times New Roman" w:hAnsi="Times New Roman" w:eastAsia="仿宋"/>
          <w:kern w:val="0"/>
          <w:szCs w:val="32"/>
          <w:shd w:val="clear" w:color="auto" w:fill="FFFFFF"/>
        </w:rPr>
        <w:t>中心城区范围内总体划分生态保护区、生态控制区、农田保护区、城镇发展区、乡村发展区。</w:t>
      </w:r>
    </w:p>
    <w:p w14:paraId="053586AA">
      <w:pPr>
        <w:widowControl/>
        <w:spacing w:line="560" w:lineRule="exact"/>
        <w:ind w:firstLine="640"/>
        <w:jc w:val="both"/>
        <w:rPr>
          <w:rFonts w:ascii="Times New Roman" w:hAnsi="Times New Roman" w:eastAsia="仿宋"/>
          <w:kern w:val="0"/>
          <w:szCs w:val="32"/>
          <w:shd w:val="clear" w:color="auto" w:fill="FFFFFF"/>
        </w:rPr>
      </w:pPr>
      <w:r>
        <w:rPr>
          <w:rFonts w:ascii="Times New Roman" w:hAnsi="Times New Roman" w:eastAsia="仿宋"/>
          <w:kern w:val="0"/>
          <w:szCs w:val="32"/>
          <w:shd w:val="clear" w:color="auto" w:fill="FFFFFF"/>
        </w:rPr>
        <w:t>进一步细化中心城区范围内城镇发展区，划定居住生活区、综合服务区、商业商务区、工业发展区、物流仓储区、绿地休闲区、交通枢纽区、战略预留区八类规划分区。</w:t>
      </w:r>
    </w:p>
    <w:p w14:paraId="30A5F54C">
      <w:pPr>
        <w:widowControl/>
        <w:spacing w:line="560" w:lineRule="exact"/>
        <w:ind w:firstLine="640"/>
        <w:jc w:val="both"/>
        <w:rPr>
          <w:rFonts w:ascii="Times New Roman" w:hAnsi="Times New Roman" w:eastAsia="仿宋"/>
          <w:kern w:val="0"/>
          <w:szCs w:val="32"/>
          <w:shd w:val="clear" w:color="auto" w:fill="FFFFFF"/>
        </w:rPr>
      </w:pPr>
      <w:r>
        <w:rPr>
          <w:rFonts w:ascii="Times New Roman" w:hAnsi="Times New Roman" w:eastAsia="仿宋"/>
          <w:kern w:val="0"/>
          <w:szCs w:val="32"/>
          <w:shd w:val="clear" w:color="auto" w:fill="FFFFFF"/>
        </w:rPr>
        <w:t>划定居住生活区主要集中在中心城区北部城东片区、城中片区、城西片区及中心城区南部居住片区。统筹考虑职住平衡适量布局。重点提供多层次、多元化的居住用地，提高基本公共服务设施、商业服务设施和公园绿地的供给质量和覆盖率，保障一定比例的配套社区服务设施用地，构建15分钟生活圈，注重临街商业活力以及社区服务中心、社区公园的建设。</w:t>
      </w:r>
    </w:p>
    <w:p w14:paraId="154151D1">
      <w:pPr>
        <w:widowControl/>
        <w:spacing w:line="560" w:lineRule="exact"/>
        <w:ind w:firstLine="640"/>
        <w:jc w:val="both"/>
        <w:rPr>
          <w:rFonts w:ascii="Times New Roman" w:hAnsi="Times New Roman" w:eastAsia="仿宋"/>
          <w:kern w:val="0"/>
          <w:szCs w:val="32"/>
          <w:shd w:val="clear" w:color="auto" w:fill="FFFFFF"/>
        </w:rPr>
      </w:pPr>
      <w:r>
        <w:rPr>
          <w:rFonts w:ascii="Times New Roman" w:hAnsi="Times New Roman" w:eastAsia="仿宋"/>
          <w:kern w:val="0"/>
          <w:szCs w:val="32"/>
          <w:shd w:val="clear" w:color="auto" w:fill="FFFFFF"/>
        </w:rPr>
        <w:t>综合服务区主要集中分布在中心城区北部，重点布局文化、体育、教育、医疗、行政管理等公共服务设施，功能应集约紧凑，满足服务等级、规模及类型要求，注重连续步行空间的营造和小型公共空间的设施，通过建筑高度的变化打造高度错落、疏密有致的天际线。</w:t>
      </w:r>
    </w:p>
    <w:p w14:paraId="65503FA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商业商务区主要集中分布在中心城区城中片区。重点布局商业服务用地。适应商业发展新趋势、消费需求新变化，加快构建现代商业体系。</w:t>
      </w:r>
    </w:p>
    <w:p w14:paraId="79919EDF">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工业发展区主要集中在城南工业园。严格遵守环保要求，降低工业及物流仓储功能对城市居住、公共环境、交通等干扰，加强工业园用地集约，完善公共服务设施配套，推进产业与城市融合发展。</w:t>
      </w:r>
    </w:p>
    <w:p w14:paraId="371214E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物流仓储区主要分布在城西片区南部，国道</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与香山大道相交处；城南工业园东北侧与天城大道与金城大道相交处。</w:t>
      </w:r>
    </w:p>
    <w:p w14:paraId="689A9CA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绿地休闲区主要于隽水河两岸集中布置及分散布局在中心城区内部，重点布局公园和广场、重要开敞空间等用地。</w:t>
      </w:r>
    </w:p>
    <w:p w14:paraId="78A4451F">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交通枢纽区主要为中心城区内客运中心、大型停车设施等交通枢纽用地。</w:t>
      </w:r>
    </w:p>
    <w:p w14:paraId="2EC8F45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战略预留区主要为中心城区香山大道西侧留白用地。</w:t>
      </w:r>
    </w:p>
    <w:p w14:paraId="2961F8BC">
      <w:pPr>
        <w:pStyle w:val="4"/>
        <w:ind w:firstLine="640"/>
      </w:pPr>
      <w:r>
        <w:rPr>
          <w:rFonts w:hint="eastAsia"/>
        </w:rPr>
        <w:t>中心城区建设用地布局</w:t>
      </w:r>
    </w:p>
    <w:p w14:paraId="68E84F2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用地布局采取分片区布局的方式，每个片区都是多功能混合的综合区，由不同功能的多个组团组成。充分利用山地水乡的资源禀赋，打造生态廊道，同时梳理水系，形成渗透式绿楔，提升城市的生态品质和环境质量。</w:t>
      </w:r>
    </w:p>
    <w:p w14:paraId="7D4E247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居住用地规划。居住用地按“</w:t>
      </w: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分钟生活圈</w:t>
      </w:r>
      <w:r>
        <w:rPr>
          <w:rFonts w:hint="eastAsia" w:ascii="黑体" w:hAnsi="黑体" w:eastAsia="黑体" w:cs="黑体"/>
        </w:rPr>
        <w:t>—</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10</w:t>
      </w:r>
      <w:r>
        <w:rPr>
          <w:rFonts w:ascii="仿宋" w:hAnsi="仿宋" w:eastAsia="仿宋" w:cs="仿宋_GB2312"/>
          <w:kern w:val="0"/>
          <w:szCs w:val="32"/>
          <w:shd w:val="clear" w:color="auto" w:fill="FFFFFF"/>
        </w:rPr>
        <w:t>分钟生活圈”两级进行控制，分级设置相应的配套服务设施。居住用地主要分布在城区中心以及西部生态新城片区，主要规划为二类居住用地，部分地区布置商住用地。居住用地可分为五大片区：城北老城居住片区、城北生态居住片区、西部居住片区、城南生态居住片区和经济开发区居住片区，各片区均布置有相应的服务设施，以满足居民的生活需求。落实适应国家最新住房政策，在城北居住区及城南经济开发区增加部分保障性住房用地。</w:t>
      </w:r>
    </w:p>
    <w:p w14:paraId="4D64097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公共管理及公共服务设施用地规划。以教育科研、机关团体用地和医疗卫生用地为主。主要分布在城区北部，其余则零星分布在各片区中心，为各片区提供相应的配套服务。</w:t>
      </w:r>
    </w:p>
    <w:p w14:paraId="03C20B6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商业服务业设施用地规划。主要分布在城区中心，其余则零星分布在城区四周。规划商业服务业设施用地结合居住用地进行配置，以沿街的形式和综合型的形式布置商业服务业设施，以满足居民生活便利性和多样性的需求。</w:t>
      </w:r>
    </w:p>
    <w:p w14:paraId="7656D64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工矿用地规划。依据中心城区的定位和发展战略，未来中心城区产业发展重点在第三产业和高新技术产业，规划将原有的旧城区工业尽量集中至崇阳经济开发区，规划工业用地主要分布在城区南部。</w:t>
      </w:r>
    </w:p>
    <w:p w14:paraId="171917D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仓储用地规划。</w:t>
      </w:r>
      <w:bookmarkStart w:id="812" w:name="OLE_LINK71"/>
      <w:bookmarkStart w:id="813" w:name="OLE_LINK72"/>
      <w:r>
        <w:rPr>
          <w:rFonts w:ascii="仿宋" w:hAnsi="仿宋" w:eastAsia="仿宋" w:cs="仿宋_GB2312"/>
          <w:kern w:val="0"/>
          <w:szCs w:val="32"/>
          <w:shd w:val="clear" w:color="auto" w:fill="FFFFFF"/>
        </w:rPr>
        <w:t>规划以一类物流仓储用地为主。结合城南经济开发区的建设，配备相应的物流仓储用地，以满足经济开发区的发展需要，同时在城西依托</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国道、武深高速连接线，发展高速物流商贸，配套相应的物流仓储用地。</w:t>
      </w:r>
    </w:p>
    <w:bookmarkEnd w:id="812"/>
    <w:bookmarkEnd w:id="813"/>
    <w:p w14:paraId="67B024B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交通运输用地规划。道路交通设施用地在现状路网的基础上进行整治与升级，完善道路等级，优化交通体系，使道路路网整体呈网格状布局。同时结合交通条件，规划交通枢纽用地和交通站场用地，以满足城市交通发展的需求。</w:t>
      </w:r>
    </w:p>
    <w:p w14:paraId="4543FD6F">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公用设施用地规划。公用设施用地在现状设施用地的基础上进行优化与提升，解决现状设施用地存在的问题，同时按规划要求新增部分公用设施用地，新增的用地依据服务半径和需求进行布局。</w:t>
      </w:r>
    </w:p>
    <w:p w14:paraId="4A39EF6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绿地与开敞空间用地规划。充分利用城市周边的自然资源，对城区的水网进行梳理，并沿水网布置公共绿地，提高城市绿化率，满足居民休闲游憩的需求，打造山地生态宜居城市。</w:t>
      </w:r>
    </w:p>
    <w:p w14:paraId="694E6D1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留白用地主要布局于城西香山大道</w:t>
      </w:r>
      <w:r>
        <w:rPr>
          <w:rFonts w:hint="eastAsia" w:ascii="仿宋" w:hAnsi="仿宋" w:eastAsia="仿宋" w:cs="仿宋_GB2312"/>
          <w:kern w:val="0"/>
          <w:szCs w:val="32"/>
          <w:shd w:val="clear" w:color="auto" w:fill="FFFFFF"/>
        </w:rPr>
        <w:t>西</w:t>
      </w:r>
      <w:r>
        <w:rPr>
          <w:rFonts w:ascii="仿宋" w:hAnsi="仿宋" w:eastAsia="仿宋" w:cs="仿宋_GB2312"/>
          <w:kern w:val="0"/>
          <w:szCs w:val="32"/>
          <w:shd w:val="clear" w:color="auto" w:fill="FFFFFF"/>
        </w:rPr>
        <w:t>侧，为未来城市发展作预留。</w:t>
      </w:r>
    </w:p>
    <w:p w14:paraId="514C0CD9">
      <w:pPr>
        <w:pStyle w:val="4"/>
        <w:ind w:firstLine="640"/>
      </w:pPr>
      <w:r>
        <w:rPr>
          <w:rFonts w:hint="eastAsia"/>
        </w:rPr>
        <w:t>促进产城融合，保障产业空间发展</w:t>
      </w:r>
    </w:p>
    <w:p w14:paraId="5D52A462">
      <w:pPr>
        <w:widowControl/>
        <w:spacing w:line="560" w:lineRule="exact"/>
        <w:ind w:firstLine="640"/>
        <w:jc w:val="both"/>
        <w:rPr>
          <w:rFonts w:ascii="仿宋" w:hAnsi="仿宋" w:eastAsia="仿宋" w:cs="仿宋_GB2312"/>
          <w:kern w:val="0"/>
          <w:szCs w:val="32"/>
          <w:shd w:val="clear" w:color="auto" w:fill="FFFFFF"/>
        </w:rPr>
      </w:pPr>
      <w:bookmarkStart w:id="814" w:name="OLE_LINK4"/>
      <w:bookmarkStart w:id="815" w:name="OLE_LINK5"/>
      <w:r>
        <w:rPr>
          <w:rFonts w:ascii="仿宋" w:hAnsi="仿宋" w:eastAsia="仿宋" w:cs="仿宋_GB2312"/>
          <w:kern w:val="0"/>
          <w:szCs w:val="32"/>
          <w:shd w:val="clear" w:color="auto" w:fill="FFFFFF"/>
        </w:rPr>
        <w:t>积极推进产城融合发展，通过传统产业绿色发展、特色产业集群发展、新型产业培育发展等方式，发展食品加工、医药卫材、新型建材、机械电子、绿色钒产品精加工等主导产业，构建高质量发展的产业体系，引导工业向园区集中。中心城区南部强化城南工业园区与中心城区融合发展，以城市为基础，承载产业空间和发展产业经济，以产业为保障，驱动城市更新和完善公共服务配套，以达到产业、城市、人之间有活力、持续向上发展的产城融合模式。以崇阳经济开发区为基础，保障产业空间发展。</w:t>
      </w:r>
      <w:bookmarkEnd w:id="814"/>
      <w:bookmarkEnd w:id="815"/>
    </w:p>
    <w:p w14:paraId="2B50D2B8">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816" w:name="_Toc2063"/>
      <w:r>
        <w:rPr>
          <w:rFonts w:hint="eastAsia" w:ascii="黑体" w:hAnsi="黑体" w:cs="黑体"/>
          <w:bCs w:val="0"/>
        </w:rPr>
        <w:t>第三节 优化中心城区设施布局</w:t>
      </w:r>
      <w:bookmarkEnd w:id="816"/>
    </w:p>
    <w:p w14:paraId="5428F6DC">
      <w:pPr>
        <w:pStyle w:val="4"/>
        <w:ind w:firstLine="640"/>
      </w:pPr>
      <w:r>
        <w:rPr>
          <w:rFonts w:hint="eastAsia"/>
        </w:rPr>
        <w:t>居住用地布局</w:t>
      </w:r>
    </w:p>
    <w:p w14:paraId="5BDC3D8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坚持公共交通导向，推进职住平衡发展，在中心城区内与产业空间、就业岗位相匹配，布局居住用地。新建区域的居住用地围绕公共交通枢纽，并选择生态环境较好、建设条件较适宜的区域布局。</w:t>
      </w:r>
    </w:p>
    <w:p w14:paraId="187A49A5">
      <w:pPr>
        <w:widowControl/>
        <w:spacing w:line="560" w:lineRule="exact"/>
        <w:ind w:firstLine="640"/>
        <w:jc w:val="both"/>
        <w:rPr>
          <w:rFonts w:ascii="Times New Roman" w:hAnsi="Times New Roman" w:eastAsia="仿宋_GB2312"/>
          <w:sz w:val="28"/>
          <w:szCs w:val="28"/>
        </w:rPr>
      </w:pPr>
      <w:r>
        <w:rPr>
          <w:rFonts w:ascii="仿宋" w:hAnsi="仿宋" w:eastAsia="仿宋" w:cs="仿宋_GB2312"/>
          <w:kern w:val="0"/>
          <w:szCs w:val="32"/>
          <w:shd w:val="clear" w:color="auto" w:fill="FFFFFF"/>
        </w:rPr>
        <w:t>各功能组团结合高端制造业、科教、公共服务中心等不同主导功能，差异化配置住房结构。提供人才公寓、租赁住房等多种住房形式，高标准建设配套公共服务设施，促进人口集聚，实现宜居宜业</w:t>
      </w:r>
      <w:r>
        <w:rPr>
          <w:rFonts w:hint="eastAsia" w:ascii="仿宋" w:hAnsi="仿宋" w:eastAsia="仿宋" w:cs="仿宋_GB2312"/>
          <w:kern w:val="0"/>
          <w:szCs w:val="32"/>
          <w:shd w:val="clear" w:color="auto" w:fill="FFFFFF"/>
        </w:rPr>
        <w:t>、产城融合。</w:t>
      </w:r>
    </w:p>
    <w:p w14:paraId="13E78076">
      <w:pPr>
        <w:pStyle w:val="4"/>
        <w:ind w:firstLine="640"/>
      </w:pPr>
      <w:r>
        <w:rPr>
          <w:rFonts w:hint="eastAsia"/>
        </w:rPr>
        <w:t>住房保障</w:t>
      </w:r>
    </w:p>
    <w:p w14:paraId="3034776A">
      <w:pPr>
        <w:widowControl/>
        <w:spacing w:line="560" w:lineRule="exact"/>
        <w:ind w:firstLine="640"/>
        <w:jc w:val="both"/>
        <w:rPr>
          <w:rFonts w:ascii="仿宋" w:hAnsi="仿宋" w:eastAsia="仿宋" w:cs="仿宋_GB2312"/>
          <w:kern w:val="0"/>
          <w:szCs w:val="32"/>
          <w:shd w:val="clear" w:color="auto" w:fill="FFFFFF"/>
        </w:rPr>
      </w:pPr>
      <w:bookmarkStart w:id="817" w:name="OLE_LINK6"/>
      <w:bookmarkStart w:id="818" w:name="OLE_LINK7"/>
      <w:r>
        <w:rPr>
          <w:rFonts w:ascii="仿宋" w:hAnsi="仿宋" w:eastAsia="仿宋" w:cs="仿宋_GB2312"/>
          <w:kern w:val="0"/>
          <w:szCs w:val="32"/>
          <w:shd w:val="clear" w:color="auto" w:fill="FFFFFF"/>
        </w:rPr>
        <w:t>加强住房有效供给，坚持商品住房和保障性住房同步发展，以政府为主提供基本住房保障，以市场为主满足多样性住房需求，建立多主体供给、多渠道保障、租购并举的住房制度。</w:t>
      </w:r>
    </w:p>
    <w:p w14:paraId="35A0901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优化住房供给结构，加大租赁住房供给，有序推进人才公寓、产业园区配套住房建设，满足多元化居住需求。科学确定商品房增量和时序，增加中小套型普通商品住房供应量。</w:t>
      </w:r>
    </w:p>
    <w:p w14:paraId="558D464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中心城区优化住房供给结构，保障城市多元化人口的居住需求。优先保证经济适用房、廉租住房建设用地，就近就业、分散布局保障性住房，与商品房配合布局，促进社会融合。面向未来人才需求，建设一批高品质社区，重点提高中小型住房供应比例的前提下，面对人口结构及转型需求，提供公共服务设施完善的人才公寓、高品质商品住宅等住宅类型。鼓励政策性住房优化布局，优化居住用地结构和布局，改善职住关系，政策性住房优先布局在大集片区、白泉片区等交通和就业便利地区，避免形成单一功能的大型居住区。</w:t>
      </w:r>
    </w:p>
    <w:bookmarkEnd w:id="817"/>
    <w:bookmarkEnd w:id="818"/>
    <w:p w14:paraId="68D976B2">
      <w:pPr>
        <w:pStyle w:val="4"/>
        <w:ind w:firstLine="640"/>
      </w:pPr>
      <w:r>
        <w:rPr>
          <w:rFonts w:hint="eastAsia"/>
        </w:rPr>
        <w:t>社区生活圈规划</w:t>
      </w:r>
    </w:p>
    <w:p w14:paraId="72C9399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基于崇阳县中心城区现状基本情况的社区边界划分，形成“</w:t>
      </w: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分钟社区生活圈—</w:t>
      </w:r>
      <w:r>
        <w:rPr>
          <w:rFonts w:ascii="Times New Roman" w:hAnsi="Times New Roman" w:eastAsia="仿宋"/>
          <w:kern w:val="0"/>
          <w:szCs w:val="32"/>
          <w:shd w:val="clear" w:color="auto" w:fill="FFFFFF"/>
        </w:rPr>
        <w:t>5</w:t>
      </w:r>
      <w:r>
        <w:rPr>
          <w:rFonts w:hint="eastAsia"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10</w:t>
      </w:r>
      <w:r>
        <w:rPr>
          <w:rFonts w:ascii="仿宋" w:hAnsi="仿宋" w:eastAsia="仿宋" w:cs="仿宋_GB2312"/>
          <w:kern w:val="0"/>
          <w:szCs w:val="32"/>
          <w:shd w:val="clear" w:color="auto" w:fill="FFFFFF"/>
        </w:rPr>
        <w:t>分钟生活圈”双层次公共服务体系，分层次布局公共服务设施，保障公共服务设施的规模要求，建立公共服务设施空间布局秩序。</w:t>
      </w:r>
    </w:p>
    <w:p w14:paraId="32D4BA40">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分钟社区生活圈公共服务设施体系。按照人口规模及服务半径，结合各社区行政边界将崇阳县中心城区</w:t>
      </w:r>
      <w:r>
        <w:rPr>
          <w:rFonts w:hint="eastAsia" w:ascii="仿宋" w:hAnsi="仿宋" w:eastAsia="仿宋" w:cs="仿宋_GB2312"/>
          <w:kern w:val="0"/>
          <w:szCs w:val="32"/>
          <w:shd w:val="clear" w:color="auto" w:fill="FFFFFF"/>
        </w:rPr>
        <w:t>划定</w:t>
      </w: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分钟社区生活圈。根据《社区生活圈规划指南》规范要求对商务、商业、医疗、教育、体育等设施进行合理配置，强调功能复合，促进职住平衡，保障日常生活便捷，以</w:t>
      </w: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分钟社区生活圈为单位补足公共服务设施缺失提供高品质公共服务。</w:t>
      </w:r>
    </w:p>
    <w:p w14:paraId="44E4185F">
      <w:pPr>
        <w:widowControl/>
        <w:spacing w:line="560" w:lineRule="exact"/>
        <w:ind w:firstLine="640"/>
        <w:jc w:val="both"/>
        <w:rPr>
          <w:rFonts w:ascii="仿宋" w:hAnsi="仿宋" w:eastAsia="仿宋" w:cs="仿宋_GB2312"/>
          <w:kern w:val="0"/>
          <w:szCs w:val="32"/>
          <w:shd w:val="clear" w:color="auto" w:fill="FFFFFF"/>
        </w:rPr>
      </w:pP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10</w:t>
      </w:r>
      <w:r>
        <w:rPr>
          <w:rFonts w:ascii="仿宋" w:hAnsi="仿宋" w:eastAsia="仿宋" w:cs="仿宋_GB2312"/>
          <w:kern w:val="0"/>
          <w:szCs w:val="32"/>
          <w:shd w:val="clear" w:color="auto" w:fill="FFFFFF"/>
        </w:rPr>
        <w:t>分钟生活圈公共服务设施体系。依据《社区生活圈规划指南》将崇阳县中心城区划</w:t>
      </w:r>
      <w:r>
        <w:rPr>
          <w:rFonts w:hint="eastAsia" w:ascii="仿宋" w:hAnsi="仿宋" w:eastAsia="仿宋" w:cs="仿宋_GB2312"/>
          <w:kern w:val="0"/>
          <w:szCs w:val="32"/>
          <w:shd w:val="clear" w:color="auto" w:fill="FFFFFF"/>
        </w:rPr>
        <w:t>定</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10</w:t>
      </w:r>
      <w:r>
        <w:rPr>
          <w:rFonts w:ascii="仿宋" w:hAnsi="仿宋" w:eastAsia="仿宋" w:cs="仿宋_GB2312"/>
          <w:kern w:val="0"/>
          <w:szCs w:val="32"/>
          <w:shd w:val="clear" w:color="auto" w:fill="FFFFFF"/>
        </w:rPr>
        <w:t>分钟社区生活圈。城市</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10</w:t>
      </w:r>
      <w:r>
        <w:rPr>
          <w:rFonts w:ascii="仿宋" w:hAnsi="仿宋" w:eastAsia="仿宋" w:cs="仿宋_GB2312"/>
          <w:kern w:val="0"/>
          <w:szCs w:val="32"/>
          <w:shd w:val="clear" w:color="auto" w:fill="FFFFFF"/>
        </w:rPr>
        <w:t>分钟社区生活圈建设强调功能复合，促进职住平衡，保障日常生活便捷，配备基础教育、医疗卫生服务、文化服务、体育健身服务、养老服务、商业服务、市政公用等各类基本公共服务设施。</w:t>
      </w:r>
    </w:p>
    <w:p w14:paraId="0D27F97F">
      <w:pPr>
        <w:pStyle w:val="4"/>
        <w:ind w:firstLine="640"/>
      </w:pPr>
      <w:r>
        <w:rPr>
          <w:rFonts w:hint="eastAsia"/>
        </w:rPr>
        <w:t>公共管理与公共服务设施用地布局</w:t>
      </w:r>
    </w:p>
    <w:p w14:paraId="67407D8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用地细分为行政办公用地、文化用地、教育设施用地、体育用地、医疗卫生用地和社会福利设施用地。</w:t>
      </w:r>
    </w:p>
    <w:p w14:paraId="4E058FD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机关团体用地主要分布于城北人民大道区域沿线以及城南呈点状分布，主要为县政府及其他行政单位用地。</w:t>
      </w:r>
    </w:p>
    <w:p w14:paraId="4782E4B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文化用地规划在城西布置一处县级文化中心，城南片区结合专业商贸市场布置一处文化展馆，其余文化设施主要其他功能用地复合建设展览馆、图书馆、影剧院以及青少年活动中心。分布于香山大道西侧、下津大道南侧、经七路西侧、纬西七路北侧。</w:t>
      </w:r>
    </w:p>
    <w:p w14:paraId="49870E5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教育用地。高水平均衡发展九年义务教育，普及高中阶段教育和学前三年教育，创新发展特殊教育，完善终身教育，健全基本公共教育服务体系。</w:t>
      </w:r>
    </w:p>
    <w:p w14:paraId="106B221F">
      <w:pPr>
        <w:widowControl/>
        <w:ind w:left="143"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规划教育科研用地主要为中小学、专业培训学校以及科研用地。其中中小学、专业培训学校、特殊学校等教育用地。</w:t>
      </w:r>
    </w:p>
    <w:p w14:paraId="1351306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促进义务教育均衡发展。高标准、高质量普及九年义务教育，保障与人口增长趋势相匹配的学位规模，优化中小学布局。推动普通高中多样化发展。推进普通高中规范化建设，调整普通高中布局，合理控制学校规模。大力发展职业教育，促进湖北崇阳职业学校办成专科层次高等职业院校。</w:t>
      </w:r>
    </w:p>
    <w:p w14:paraId="4A1A137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体育用地。加强公共体育场、全民健身活动中心建设，规划保留</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座体育场，同时结合各社区的需求，完善社区体育空间建设。</w:t>
      </w:r>
    </w:p>
    <w:p w14:paraId="71474B2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医疗卫生用地。规划医疗卫生用地于城北赤通大道西侧、人民大道以北，结合现状人民医院，扩建发展成为崇阳县综合医院和医疗救治中心。规划于中心城区东南、天城大道以东，设置综合公共卫生服务中心。大力发展社区卫生服务中心，按</w:t>
      </w:r>
      <w:r>
        <w:rPr>
          <w:rFonts w:ascii="Times New Roman" w:hAnsi="Times New Roman" w:eastAsia="仿宋"/>
          <w:kern w:val="0"/>
          <w:szCs w:val="32"/>
          <w:shd w:val="clear" w:color="auto" w:fill="FFFFFF"/>
        </w:rPr>
        <w:t>3</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万人左右设置</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所社区卫生服务中心；社区卫生服务站每</w:t>
      </w:r>
      <w:r>
        <w:rPr>
          <w:rFonts w:ascii="Times New Roman" w:hAnsi="Times New Roman" w:eastAsia="仿宋"/>
          <w:kern w:val="0"/>
          <w:szCs w:val="32"/>
          <w:shd w:val="clear" w:color="auto" w:fill="FFFFFF"/>
        </w:rPr>
        <w:t>0</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4</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w:t>
      </w:r>
      <w:r>
        <w:rPr>
          <w:rFonts w:ascii="仿宋" w:hAnsi="仿宋" w:eastAsia="仿宋" w:cs="仿宋_GB2312"/>
          <w:kern w:val="0"/>
          <w:szCs w:val="32"/>
          <w:shd w:val="clear" w:color="auto" w:fill="FFFFFF"/>
        </w:rPr>
        <w:t>万人设</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所。</w:t>
      </w:r>
    </w:p>
    <w:p w14:paraId="4E84C64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社会福利用地。规划保留现有的社会福利用地。按照每千人拥有养老床位数</w:t>
      </w:r>
      <w:r>
        <w:rPr>
          <w:rFonts w:ascii="Times New Roman" w:hAnsi="Times New Roman" w:eastAsia="仿宋"/>
          <w:kern w:val="0"/>
          <w:szCs w:val="32"/>
          <w:shd w:val="clear" w:color="auto" w:fill="FFFFFF"/>
        </w:rPr>
        <w:t>40</w:t>
      </w:r>
      <w:r>
        <w:rPr>
          <w:rFonts w:ascii="仿宋" w:hAnsi="仿宋" w:eastAsia="仿宋" w:cs="仿宋_GB2312"/>
          <w:kern w:val="0"/>
          <w:szCs w:val="32"/>
          <w:shd w:val="clear" w:color="auto" w:fill="FFFFFF"/>
        </w:rPr>
        <w:t>张以上及结合</w:t>
      </w: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分钟社区生活圈设置配置</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处养老院。</w:t>
      </w:r>
    </w:p>
    <w:p w14:paraId="264A2CD8">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819" w:name="_Toc13631"/>
      <w:r>
        <w:rPr>
          <w:rFonts w:hint="eastAsia" w:ascii="黑体" w:hAnsi="黑体" w:cs="黑体"/>
          <w:bCs w:val="0"/>
        </w:rPr>
        <w:t>第四节 城市公共绿地与开敞空间</w:t>
      </w:r>
      <w:bookmarkEnd w:id="819"/>
    </w:p>
    <w:p w14:paraId="029EDCD8">
      <w:pPr>
        <w:pStyle w:val="4"/>
        <w:ind w:firstLine="640"/>
      </w:pPr>
      <w:r>
        <w:rPr>
          <w:rFonts w:hint="eastAsia"/>
        </w:rPr>
        <w:t>城市公共绿地与开敞空间建设</w:t>
      </w:r>
    </w:p>
    <w:p w14:paraId="6C7AEF67">
      <w:pPr>
        <w:widowControl/>
        <w:spacing w:line="560" w:lineRule="exact"/>
        <w:ind w:firstLine="640"/>
        <w:jc w:val="both"/>
        <w:rPr>
          <w:rFonts w:ascii="仿宋" w:hAnsi="仿宋" w:eastAsia="仿宋" w:cs="仿宋_GB2312"/>
          <w:kern w:val="0"/>
          <w:szCs w:val="32"/>
          <w:u w:val="single"/>
          <w:shd w:val="clear" w:color="auto" w:fill="FFFFFF"/>
        </w:rPr>
      </w:pPr>
      <w:r>
        <w:rPr>
          <w:rFonts w:ascii="仿宋" w:hAnsi="仿宋" w:eastAsia="仿宋" w:cs="仿宋_GB2312"/>
          <w:kern w:val="0"/>
          <w:szCs w:val="32"/>
          <w:u w:val="none"/>
          <w:shd w:val="clear" w:color="auto" w:fill="FFFFFF"/>
        </w:rPr>
        <w:t>中心城区规划范围各类开敞空间。规划至</w:t>
      </w:r>
      <w:r>
        <w:rPr>
          <w:rFonts w:ascii="Times New Roman" w:hAnsi="Times New Roman" w:eastAsia="仿宋"/>
          <w:kern w:val="0"/>
          <w:szCs w:val="32"/>
          <w:u w:val="none"/>
          <w:shd w:val="clear" w:color="auto" w:fill="FFFFFF"/>
        </w:rPr>
        <w:t>2035</w:t>
      </w:r>
      <w:r>
        <w:rPr>
          <w:rFonts w:ascii="仿宋" w:hAnsi="仿宋" w:eastAsia="仿宋" w:cs="仿宋_GB2312"/>
          <w:kern w:val="0"/>
          <w:szCs w:val="32"/>
          <w:u w:val="none"/>
          <w:shd w:val="clear" w:color="auto" w:fill="FFFFFF"/>
        </w:rPr>
        <w:t>年，中心城区公园绿地主要为老干公园、大集公园、中津三角洲公园、隽水河滨水公园、开发区滨水公园等</w:t>
      </w:r>
      <w:r>
        <w:rPr>
          <w:rFonts w:ascii="Times New Roman" w:hAnsi="Times New Roman" w:eastAsia="仿宋"/>
          <w:kern w:val="0"/>
          <w:szCs w:val="32"/>
          <w:u w:val="none"/>
          <w:shd w:val="clear" w:color="auto" w:fill="FFFFFF"/>
        </w:rPr>
        <w:t>5</w:t>
      </w:r>
      <w:r>
        <w:rPr>
          <w:rFonts w:ascii="仿宋" w:hAnsi="仿宋" w:eastAsia="仿宋" w:cs="仿宋_GB2312"/>
          <w:kern w:val="0"/>
          <w:szCs w:val="32"/>
          <w:u w:val="none"/>
          <w:shd w:val="clear" w:color="auto" w:fill="FFFFFF"/>
        </w:rPr>
        <w:t>个综合城市公园以及若干社区公园。</w:t>
      </w:r>
    </w:p>
    <w:p w14:paraId="487CBE1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滨河绿带主要沿规划区内水系进行布置，形成“绿河相依”的良好生态环境，滨河绿带起到保护河流生态环境的作用，同时也是规划区内绿地系统的重要组成架构，起到串联各个绿地公园的作用。</w:t>
      </w:r>
    </w:p>
    <w:p w14:paraId="27A97AB5">
      <w:pPr>
        <w:widowControl/>
        <w:spacing w:line="560" w:lineRule="exact"/>
        <w:ind w:firstLine="640"/>
        <w:jc w:val="both"/>
        <w:rPr>
          <w:rFonts w:ascii="仿宋" w:hAnsi="仿宋" w:eastAsia="仿宋" w:cs="仿宋_GB2312"/>
          <w:kern w:val="0"/>
          <w:szCs w:val="32"/>
          <w:u w:val="single"/>
          <w:shd w:val="clear" w:color="auto" w:fill="FFFFFF"/>
        </w:rPr>
      </w:pPr>
      <w:r>
        <w:rPr>
          <w:rFonts w:ascii="仿宋" w:hAnsi="仿宋" w:eastAsia="仿宋" w:cs="仿宋_GB2312"/>
          <w:kern w:val="0"/>
          <w:szCs w:val="32"/>
          <w:shd w:val="clear" w:color="auto" w:fill="FFFFFF"/>
        </w:rPr>
        <w:t>防护绿地规划。</w:t>
      </w:r>
      <w:r>
        <w:rPr>
          <w:rFonts w:ascii="仿宋" w:hAnsi="仿宋" w:eastAsia="仿宋" w:cs="仿宋_GB2312"/>
          <w:kern w:val="0"/>
          <w:szCs w:val="32"/>
          <w:u w:val="none"/>
          <w:shd w:val="clear" w:color="auto" w:fill="FFFFFF"/>
        </w:rPr>
        <w:t>防护绿带主要沿人民大道、香山大道、金城大道、天城大道、丰日大道、崇青大道、纬南四路、经一路以及经西六路等主要道路进行布置，起到隔离、防护等作用。</w:t>
      </w:r>
    </w:p>
    <w:p w14:paraId="211F7D7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广场用地规划。保留现状的城市广场，进行绿化整治与改造，丰富广场绿化景观，同时新建若干城市广场，均匀分布在城区范围内，规划结合周围文化设施的建设形成富有浓郁地方特色的文化休闲广场，为市民提供游憩休闲的开敞空间。</w:t>
      </w:r>
    </w:p>
    <w:p w14:paraId="14DE9E7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郊野公园规划。中心城区郊野公园为大集郊野公园、香山河滨水公园、香山公园、香山港滨水公园、岗水塘公园、吴婆塘公园、黄金山体育公园等七个郊野公园。</w:t>
      </w:r>
    </w:p>
    <w:p w14:paraId="4052912E">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shd w:val="clear" w:color="auto" w:fill="FFFFFF"/>
        </w:rPr>
        <w:t>优化公园绿地布局。消除公园绿地盲区，规划新建香山河公园、隽水河滨水公园、老干公园、开发区滨水公园等，完善公园体系。提升大集公园、中津三角洲公园综合改造和配套设施提升，提高公园服务能力。</w:t>
      </w:r>
      <w:r>
        <w:rPr>
          <w:rFonts w:ascii="仿宋" w:hAnsi="仿宋" w:eastAsia="仿宋" w:cs="仿宋_GB2312"/>
          <w:kern w:val="0"/>
          <w:szCs w:val="32"/>
          <w:u w:val="none"/>
          <w:shd w:val="clear" w:color="auto" w:fill="FFFFFF"/>
        </w:rPr>
        <w:t>结合</w:t>
      </w:r>
      <w:r>
        <w:rPr>
          <w:rFonts w:ascii="Times New Roman" w:hAnsi="Times New Roman" w:eastAsia="仿宋"/>
          <w:kern w:val="0"/>
          <w:szCs w:val="32"/>
          <w:u w:val="none"/>
          <w:shd w:val="clear" w:color="auto" w:fill="FFFFFF"/>
        </w:rPr>
        <w:t>15</w:t>
      </w:r>
      <w:r>
        <w:rPr>
          <w:rFonts w:ascii="仿宋" w:hAnsi="仿宋" w:eastAsia="仿宋" w:cs="仿宋_GB2312"/>
          <w:kern w:val="0"/>
          <w:szCs w:val="32"/>
          <w:u w:val="none"/>
          <w:shd w:val="clear" w:color="auto" w:fill="FFFFFF"/>
        </w:rPr>
        <w:t>分钟社区生活圈优化社区公园布局，通过边角地整理、见缝插针等方式，进行新建、改建口袋公园、街头公园，增加社区公园数量。</w:t>
      </w:r>
    </w:p>
    <w:p w14:paraId="72C85ADC">
      <w:pPr>
        <w:pStyle w:val="4"/>
        <w:ind w:firstLine="640"/>
      </w:pPr>
      <w:r>
        <w:rPr>
          <w:rFonts w:hint="eastAsia"/>
        </w:rPr>
        <w:t>通风廊道和绿道系统布局与管控</w:t>
      </w:r>
    </w:p>
    <w:p w14:paraId="12966DA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中心城区主要依托城市道路及滨水开敞空间构建通风廊道，实现城区内外有机渗透。确定香山大道、文昌大道、天城大道、金城大道为通风廊道的城市道路，廊道宽度不低于</w:t>
      </w:r>
      <w:r>
        <w:rPr>
          <w:rFonts w:ascii="Times New Roman" w:hAnsi="Times New Roman" w:eastAsia="仿宋"/>
          <w:kern w:val="0"/>
          <w:szCs w:val="32"/>
          <w:shd w:val="clear" w:color="auto" w:fill="FFFFFF"/>
        </w:rPr>
        <w:t>50</w:t>
      </w:r>
      <w:r>
        <w:rPr>
          <w:rFonts w:ascii="仿宋" w:hAnsi="仿宋" w:eastAsia="仿宋" w:cs="仿宋_GB2312"/>
          <w:kern w:val="0"/>
          <w:szCs w:val="32"/>
          <w:shd w:val="clear" w:color="auto" w:fill="FFFFFF"/>
        </w:rPr>
        <w:t>米，隽水河生态廊道宽度不低于</w:t>
      </w:r>
      <w:r>
        <w:rPr>
          <w:rFonts w:ascii="Times New Roman" w:hAnsi="Times New Roman" w:eastAsia="仿宋"/>
          <w:kern w:val="0"/>
          <w:szCs w:val="32"/>
          <w:shd w:val="clear" w:color="auto" w:fill="FFFFFF"/>
        </w:rPr>
        <w:t>100</w:t>
      </w:r>
      <w:r>
        <w:rPr>
          <w:rFonts w:ascii="仿宋" w:hAnsi="仿宋" w:eastAsia="仿宋" w:cs="仿宋_GB2312"/>
          <w:kern w:val="0"/>
          <w:szCs w:val="32"/>
          <w:shd w:val="clear" w:color="auto" w:fill="FFFFFF"/>
        </w:rPr>
        <w:t>米，应严格控制建筑间口率、街巷高宽比等，形成利于通风的空间模式。</w:t>
      </w:r>
    </w:p>
    <w:p w14:paraId="33BA182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lang w:bidi="ar"/>
        </w:rPr>
        <w:t>坚持“可持续发展、以人为本”的理念，规划“通勤廊道+生态环线+休闲步道”慢行体系，构建安全、便捷、友好、具有崇阳县特色的步行和自行车为主体的绿道系统。围绕香山大道、文昌大道、天城大道、金城大道为通风廊道的城市道路，结合大集公园、石龟湿地公园、文昌公园、隽水河滨河公园、香山河滨水公园等公共开敞空间，串联社区内幼儿园、中小学、卫生服务中心、文化活动中心、体育中心、社区养老等公共服务设施节点，强化各片区内部联系。横纵结合，以线串点，形成丰富的绿色空间网络。横纵结合，以线串点，构建丰富的绿色空间网络。</w:t>
      </w:r>
    </w:p>
    <w:p w14:paraId="62449F87">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820" w:name="_Toc31476"/>
      <w:r>
        <w:rPr>
          <w:rFonts w:hint="eastAsia" w:ascii="黑体" w:hAnsi="黑体" w:cs="黑体"/>
          <w:bCs w:val="0"/>
        </w:rPr>
        <w:t>第五节 城市景观风貌设计与开发强度控制</w:t>
      </w:r>
      <w:bookmarkEnd w:id="820"/>
    </w:p>
    <w:p w14:paraId="2D490F7A">
      <w:pPr>
        <w:pStyle w:val="4"/>
        <w:ind w:firstLine="640"/>
      </w:pPr>
      <w:r>
        <w:rPr>
          <w:rFonts w:hint="eastAsia"/>
        </w:rPr>
        <w:t>加强开发强度管控</w:t>
      </w:r>
    </w:p>
    <w:p w14:paraId="49152D7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在中心城区范围内根据区位条件、功能建设、生态景观资源等因素，划定五个开发强度区：其中高强度分区主要集中在隽水河北侧城市更新重点区域。中强度区主要集中在新建路以北城镇生活密集区。一般强度分区主要集中在城区北部及城南居住区域。中低强度分区工业生产主导功能空间要控制底线，避免形成低效用地，主要集中在城南开发区、铜钟工业园，避免形成低效用地。低强度分区主要集中在城镇外围村庄建设区域。</w:t>
      </w:r>
    </w:p>
    <w:p w14:paraId="38D0C73B">
      <w:pPr>
        <w:pStyle w:val="4"/>
        <w:ind w:firstLine="640"/>
      </w:pPr>
      <w:r>
        <w:rPr>
          <w:rFonts w:hint="eastAsia"/>
        </w:rPr>
        <w:t>特色景观风貌</w:t>
      </w:r>
    </w:p>
    <w:p w14:paraId="05526A0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打造“楚风雅韵、大气秀丽、绿色时尚”的城市景观风貌。坚持生态优先、点线面结合的原则，保护好作为历史文化背景的自然环境以及与文物古迹关系密切的水系、山体等，塑造“低山丘陵”的自然环境特色，尊重自然地理特征，充分发挥“山、水、林、田、湖、草”等各类自然地貌的景观价值。在中心城区及其他区域，优化城市形态，降低开发强度，形成透风见绿、疏密有致的宜人环境，重点突出“近山不临山，绿楔环四城”特点，彰显山水城和谐相融风貌。整体形成“一带两轴、一环多廊、五区多节点”的景观风貌格局。</w:t>
      </w:r>
    </w:p>
    <w:p w14:paraId="32829BA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“一带”：指贯穿全城的隽水河，强化两岸做滨水绿带景观，形成河绿相依的景观风景带。“两轴”：以文昌大道－崇青大道沿线景观中轴；以天城大道沿线的景观轴。“一环”：由沿人民大道、国道</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香山大道构建城区景观环。“多廊”：包括天城大道、人民大道、城西景观廊道、城南景观廊道为主引绿入城的景观廊道。“五区”：依据区域文化特质、功能属性、空间特质等分为城中活力商贸风貌区、城西现代居住风貌区、城南产城融合风貌区、城东生态康养风貌区、城北行政服务风貌区。</w:t>
      </w:r>
    </w:p>
    <w:p w14:paraId="0B8A7A6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“多节点”：沿景观道、景观轴、景观廊道布置的主要景观节点及次要节点。</w:t>
      </w:r>
    </w:p>
    <w:p w14:paraId="4A3FD0C7">
      <w:pPr>
        <w:pStyle w:val="4"/>
        <w:ind w:firstLine="640"/>
      </w:pPr>
      <w:r>
        <w:rPr>
          <w:rFonts w:hint="eastAsia"/>
        </w:rPr>
        <w:t>城市设计指引</w:t>
      </w:r>
    </w:p>
    <w:p w14:paraId="2E8C30CF">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重要界面和视线廊道管控。建设城绿交错、起伏有致的岸线级天际线。按照沿隽水河构建具有特色的风貌主体，结合城市功能需求和生态保护需要，构建城绿交错、起伏有致的滨水岸线天际线。加强隽水河、香山河等河流水系；大集公园、天城公园、香山缓丘绿脉等缓丘山体要素的边界管控，注重建筑高度控制，营造慢行系统贯通，形成丰富、动静结合的活力空间。预留“见山望水”重要廊道。结合城区的水系，串联城区景观廊道，形成区域独特的景观视廊。</w:t>
      </w:r>
    </w:p>
    <w:p w14:paraId="38B6AA3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街道公共空间管控。全面控制结构性主干路、滨河道路、生活性道路及其他道路公共空间。街道高宽比适中，断面设计时应结合两侧建筑类型及业态。街道建筑界面应连续，鼓励设置通透的建筑底层界面，连续的围墙长度不宜大于</w:t>
      </w:r>
      <w:r>
        <w:rPr>
          <w:rFonts w:ascii="Times New Roman" w:hAnsi="Times New Roman" w:eastAsia="仿宋"/>
          <w:kern w:val="0"/>
          <w:szCs w:val="32"/>
          <w:shd w:val="clear" w:color="auto" w:fill="FFFFFF"/>
        </w:rPr>
        <w:t>100</w:t>
      </w:r>
      <w:r>
        <w:rPr>
          <w:rFonts w:ascii="仿宋" w:hAnsi="仿宋" w:eastAsia="仿宋" w:cs="仿宋_GB2312"/>
          <w:kern w:val="0"/>
          <w:szCs w:val="32"/>
          <w:shd w:val="clear" w:color="auto" w:fill="FFFFFF"/>
        </w:rPr>
        <w:t>米；沿街乔木应选取不影响行人步行、不遮挡山水景观的高秆乔木，灌木应选取较低矮且具有观赏性的植物；路段中应结合两侧业态，适当布置相应的休憩设施。推进开放式街区和小区建设，促进推窗见绿、开门见园。综合形成彰显山水环境、感知历史文化、展示未来形象的城市街道公共空间。</w:t>
      </w:r>
    </w:p>
    <w:p w14:paraId="467A65A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城市色彩整体管控。城市色彩应充分体现对荆楚文化传统色彩的延续和传承，与山水本底、历史文化遗存形成有机融合的整体。加快推进城市色彩专项规划，推进色彩管理由感性认知到量化管控转变。进一步确定以青、暖白等为代表的主色系，明确辅助色和点缀色。尽量避免亮丽的纯色的大面积使用，减少色彩污染。</w:t>
      </w:r>
    </w:p>
    <w:p w14:paraId="3EA9143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建筑高度指引，塑造疏密有致的天际线。分地区控制建筑高度。加强对建筑形态、建筑体量的控制。其他地区以中低层控制为主。结合开发强度分区及重要景观通廊划定一级建筑高度分区、二级建筑高度分区、三级建筑高度分区、四级建筑高度分区、五级建筑高度分区等五类建筑高度分区。在城市中心地区，可适当集中布局中高层建筑，通过城市设计确定具体高度组合。加强隽水河两岸建筑高度控制，保证不影响隽水河两岸的整体景观风貌，结合主要视线通廊，功能应集约紧凑，满足服务等级、规模及类型要求，注重连续步行空间的营造和小型公共空间的设置，通过建筑高度的变化打造高度错落、疏密有致的天际线。</w:t>
      </w:r>
    </w:p>
    <w:p w14:paraId="75E820BA">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821" w:name="_Toc23672"/>
      <w:r>
        <w:rPr>
          <w:rFonts w:hint="eastAsia" w:ascii="黑体" w:hAnsi="黑体" w:cs="黑体"/>
          <w:bCs w:val="0"/>
        </w:rPr>
        <w:t>第六节 城市四线划定与管控</w:t>
      </w:r>
      <w:bookmarkEnd w:id="821"/>
    </w:p>
    <w:p w14:paraId="34157FFB">
      <w:pPr>
        <w:pStyle w:val="4"/>
        <w:ind w:firstLine="640"/>
      </w:pPr>
      <w:r>
        <w:rPr>
          <w:rFonts w:hint="eastAsia"/>
        </w:rPr>
        <w:t>城市蓝线及管控要求</w:t>
      </w:r>
    </w:p>
    <w:p w14:paraId="2743E717">
      <w:pPr>
        <w:widowControl/>
        <w:shd w:val="clear" w:color="auto" w:fill="FFFFFF"/>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以依法依规划定的河湖管理范围线为基础，将大型江河湖库水域保护线划定为蓝线。在保障功能不降低、规模不减少的前提下，蓝线的具体边界在下层次规划中逐级细化落位，保持蓝线的系统性和连通性。</w:t>
      </w:r>
    </w:p>
    <w:p w14:paraId="4F6DE168">
      <w:pPr>
        <w:widowControl/>
        <w:shd w:val="clear" w:color="auto" w:fill="FFFFFF"/>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细化落位后的蓝线同步纳入国土空间规划“一张图”实施监督信息系统，蓝线范围内的建设活动应符合相关管理办法的要求，其调整应符合国家有关规定。</w:t>
      </w:r>
    </w:p>
    <w:p w14:paraId="4EF351CF">
      <w:pPr>
        <w:pStyle w:val="4"/>
        <w:ind w:firstLine="640"/>
      </w:pPr>
      <w:r>
        <w:rPr>
          <w:rFonts w:hint="eastAsia"/>
        </w:rPr>
        <w:t>城市绿线及管控要求</w:t>
      </w:r>
    </w:p>
    <w:p w14:paraId="3EE5EC48">
      <w:pPr>
        <w:widowControl/>
        <w:shd w:val="clear" w:color="auto" w:fill="FFFFFF"/>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将城市公园、交通廊道防护绿地划定为绿线。在保障功能不降低、规模不减少的前提下，绿线的具体边界在下层次规划中逐级细化落位，保持绿线的系统性和连通性。</w:t>
      </w:r>
    </w:p>
    <w:p w14:paraId="7E626637">
      <w:pPr>
        <w:widowControl/>
        <w:shd w:val="clear" w:color="auto" w:fill="FFFFFF"/>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细化落位后的绿线同步纳入国土空间规划“一张图”实施监督信息系统，绿线范围内的建设活动应符合相关管理办法的要求，其调整应符合国家有关规定。</w:t>
      </w:r>
    </w:p>
    <w:p w14:paraId="00A47376">
      <w:pPr>
        <w:pStyle w:val="4"/>
        <w:ind w:firstLine="640"/>
      </w:pPr>
      <w:r>
        <w:rPr>
          <w:rFonts w:hint="eastAsia"/>
        </w:rPr>
        <w:t>城市黄线及管控要求</w:t>
      </w:r>
    </w:p>
    <w:p w14:paraId="3984FE83">
      <w:pPr>
        <w:widowControl/>
        <w:shd w:val="clear" w:color="auto" w:fill="FFFFFF"/>
        <w:spacing w:line="560" w:lineRule="exact"/>
        <w:ind w:firstLine="640"/>
        <w:jc w:val="both"/>
        <w:rPr>
          <w:rFonts w:ascii="仿宋" w:hAnsi="仿宋" w:eastAsia="仿宋" w:cs="仿宋_GB2312"/>
          <w:kern w:val="0"/>
          <w:szCs w:val="32"/>
          <w:u w:val="none"/>
          <w:shd w:val="clear" w:color="auto" w:fill="FFFFFF"/>
        </w:rPr>
      </w:pPr>
      <w:bookmarkStart w:id="822" w:name="OLE_LINK8"/>
      <w:bookmarkStart w:id="823" w:name="OLE_LINK9"/>
      <w:r>
        <w:rPr>
          <w:rFonts w:ascii="仿宋" w:hAnsi="仿宋" w:eastAsia="仿宋" w:cs="仿宋_GB2312"/>
          <w:kern w:val="0"/>
          <w:szCs w:val="32"/>
          <w:u w:val="none"/>
          <w:shd w:val="clear" w:color="auto" w:fill="FFFFFF"/>
        </w:rPr>
        <w:t>将重要交通枢纽用地、重要市政基础设施用地范围划定为黄线。黄线应结合交通、市政等专项规划，在下层次规划中逐级细化落位，确保控制预留的空间不被侵占。</w:t>
      </w:r>
    </w:p>
    <w:p w14:paraId="16CE28D8">
      <w:pPr>
        <w:widowControl/>
        <w:shd w:val="clear" w:color="auto" w:fill="FFFFFF"/>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细化落位后的黄线同步纳入国土空间规划“一张图”实施监督信息系统，黄线范围内的建设活动应符合相关管理办法的要求，其调整应符合国家有关规定。</w:t>
      </w:r>
    </w:p>
    <w:bookmarkEnd w:id="822"/>
    <w:bookmarkEnd w:id="823"/>
    <w:p w14:paraId="0AEE1CD1">
      <w:pPr>
        <w:pStyle w:val="4"/>
        <w:ind w:firstLine="640"/>
      </w:pPr>
      <w:r>
        <w:rPr>
          <w:rFonts w:hint="eastAsia"/>
        </w:rPr>
        <w:t>城市紫线及管控要求</w:t>
      </w:r>
    </w:p>
    <w:p w14:paraId="569A9E13">
      <w:pPr>
        <w:widowControl/>
        <w:shd w:val="clear" w:color="auto" w:fill="FFFFFF"/>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将传统村落、历史建筑保护范围划定为紫线。紫线的具体边界在下层次规划中落位。落位后的紫线同步纳入国土空间规划“一张图”实施监督信息系统，紫线范围内的建设活动应符合相关管理办法的要求，其调整应符合国家有关规定。</w:t>
      </w:r>
    </w:p>
    <w:p w14:paraId="7396D7F9">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824" w:name="_Toc4272"/>
      <w:r>
        <w:rPr>
          <w:rFonts w:hint="eastAsia" w:ascii="黑体" w:hAnsi="黑体" w:cs="黑体"/>
          <w:bCs w:val="0"/>
        </w:rPr>
        <w:t>第七节 中心城区城市地下空间规划</w:t>
      </w:r>
      <w:bookmarkEnd w:id="824"/>
    </w:p>
    <w:p w14:paraId="47FC4AFF">
      <w:pPr>
        <w:pStyle w:val="4"/>
        <w:ind w:firstLine="640"/>
      </w:pPr>
      <w:r>
        <w:rPr>
          <w:rFonts w:hint="eastAsia"/>
        </w:rPr>
        <w:t>地下空间建设目标</w:t>
      </w:r>
    </w:p>
    <w:p w14:paraId="424547EB">
      <w:pPr>
        <w:widowControl/>
        <w:shd w:val="clear" w:color="auto" w:fill="FFFFFF"/>
        <w:spacing w:line="560" w:lineRule="exact"/>
        <w:ind w:firstLine="640"/>
        <w:jc w:val="both"/>
        <w:rPr>
          <w:rFonts w:ascii="仿宋" w:hAnsi="仿宋" w:eastAsia="仿宋" w:cs="仿宋_GB2312"/>
          <w:kern w:val="0"/>
          <w:szCs w:val="32"/>
          <w:shd w:val="clear" w:color="auto" w:fill="FFFFFF"/>
        </w:rPr>
      </w:pPr>
      <w:bookmarkStart w:id="825" w:name="OLE_LINK11"/>
      <w:bookmarkStart w:id="826" w:name="OLE_LINK10"/>
      <w:r>
        <w:rPr>
          <w:rFonts w:ascii="仿宋" w:hAnsi="仿宋" w:eastAsia="仿宋" w:cs="仿宋_GB2312"/>
          <w:kern w:val="0"/>
          <w:szCs w:val="32"/>
          <w:shd w:val="clear" w:color="auto" w:fill="FFFFFF"/>
        </w:rPr>
        <w:t>构建“地上地下一体化、功能类型多样化、设施系统网络化”的地下空间资源综合开发利用与保护体系。城市公共绿地、广场、地下交通干线、城市地下停车场、地下管廊以及其他重大基础设施的规划和建设，应当优先规划建设人防工程。专供平时使用的地下建筑（如地下商业街、停车场及地下室等），应根据人民防空要求，制定战时使用方案或应急加固措施。</w:t>
      </w:r>
    </w:p>
    <w:bookmarkEnd w:id="825"/>
    <w:bookmarkEnd w:id="826"/>
    <w:p w14:paraId="2F93F65B">
      <w:pPr>
        <w:pStyle w:val="4"/>
        <w:ind w:firstLine="640"/>
      </w:pPr>
      <w:r>
        <w:rPr>
          <w:rFonts w:hint="eastAsia"/>
        </w:rPr>
        <w:t>地下空间总体规划布局</w:t>
      </w:r>
    </w:p>
    <w:p w14:paraId="39D4667A">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地下空间开发利用应兼顾人防要求。结合主要交通廊道、公共中心布局和人防工程建设，划定重点建设区、一般建设区。其中重点建设区主要为县级商业商务中心、行政中心等功能区域，一般建设区为重点建设区外的城镇建设用地。</w:t>
      </w:r>
    </w:p>
    <w:p w14:paraId="7ED01B02">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根据地下空间具体功能定位和使用类型，划定综合功能、混合功能、一般功能三大功能区域。其中综合功能地下空间集合商业、停车、人防、人行交通、公共互联通道等多种功能，形成功能综合、联系紧密的复合型功能区域。混合功能地下空间一般含有地下商业、地下停车、交通集散空间、地下人防中的部分功能，一般功能地下空间的地下空间功能相对单一，如地下停车、地下市政实施、地下仓储等功能。</w:t>
      </w:r>
    </w:p>
    <w:p w14:paraId="5BC4385E">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827" w:name="_Toc22447"/>
      <w:r>
        <w:rPr>
          <w:rFonts w:hint="eastAsia" w:ascii="黑体" w:hAnsi="黑体" w:cs="黑体"/>
          <w:bCs w:val="0"/>
        </w:rPr>
        <w:t>第八节 中心城区城市更新</w:t>
      </w:r>
      <w:bookmarkEnd w:id="827"/>
    </w:p>
    <w:p w14:paraId="652708D5">
      <w:pPr>
        <w:pStyle w:val="4"/>
        <w:ind w:firstLine="640"/>
      </w:pPr>
      <w:r>
        <w:rPr>
          <w:rFonts w:hint="eastAsia"/>
        </w:rPr>
        <w:t>城市更新目标</w:t>
      </w:r>
    </w:p>
    <w:p w14:paraId="3A6C263F">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为持续改善城市空间形态和功能，在中心城区建成区内，对老旧住区、老旧厂区、老旧商业办公区、城中村等存量资源开展治理和建设活动，通过盘活存量补齐城市功能短板，助力产业升级转型，实现城市功能结构调整。</w:t>
      </w:r>
    </w:p>
    <w:p w14:paraId="542CC0EE">
      <w:pPr>
        <w:pStyle w:val="4"/>
        <w:ind w:firstLine="640"/>
      </w:pPr>
      <w:r>
        <w:rPr>
          <w:rFonts w:hint="eastAsia"/>
        </w:rPr>
        <w:t>城市更新重点区域</w:t>
      </w:r>
    </w:p>
    <w:p w14:paraId="7D1FC0D8">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市更新单元的划定以城市更新项目改造范围为基础，可包括多个更新项目，以成片连片为基本原则，综合考虑道路、河流等要素及产权边界等因素，保证基础设施和公共服务设施相对完整。划定城市更新单元，作为城市更新重点区域。重点提升城市服务功能，控制特色开放空间，完善公共服务配套，提升市政基础设施，消除尽端道路，提升城市景观环境。</w:t>
      </w:r>
    </w:p>
    <w:p w14:paraId="0DEB4113">
      <w:pPr>
        <w:pStyle w:val="4"/>
        <w:ind w:firstLine="640"/>
      </w:pPr>
      <w:r>
        <w:rPr>
          <w:rFonts w:hint="eastAsia"/>
        </w:rPr>
        <w:t>城市更新模式</w:t>
      </w:r>
    </w:p>
    <w:p w14:paraId="42BA9997">
      <w:pPr>
        <w:widowControl/>
        <w:shd w:val="clear" w:color="auto" w:fill="FFFFFF"/>
        <w:spacing w:line="560" w:lineRule="exact"/>
        <w:ind w:firstLine="640"/>
        <w:jc w:val="both"/>
        <w:rPr>
          <w:rFonts w:ascii="仿宋" w:hAnsi="仿宋" w:eastAsia="仿宋" w:cs="仿宋_GB2312"/>
          <w:kern w:val="0"/>
          <w:szCs w:val="32"/>
          <w:shd w:val="clear" w:color="auto" w:fill="FFFFFF"/>
        </w:rPr>
      </w:pPr>
      <w:bookmarkStart w:id="828" w:name="OLE_LINK12"/>
      <w:bookmarkStart w:id="829" w:name="OLE_LINK13"/>
      <w:r>
        <w:rPr>
          <w:rFonts w:ascii="仿宋" w:hAnsi="仿宋" w:eastAsia="仿宋" w:cs="仿宋_GB2312"/>
          <w:kern w:val="0"/>
          <w:szCs w:val="32"/>
          <w:shd w:val="clear" w:color="auto" w:fill="FFFFFF"/>
        </w:rPr>
        <w:t>推进改造老旧小区、盘活旧工业用地、完善城市功能，实施城市更新行动，打造宜居、韧性、智慧城市，以综合整治、功能改变、拆除重建等多种方式，充分挖掘利用城市闲置用地资源，聚焦居民急难愁盼的问题及诉求，鼓励腾退出的空间资源优先用于建设公共服务设施、市政基础设施、防灾安全设施、防洪排涝设施、公共绿地、活动场地等，完善城市功能。</w:t>
      </w:r>
    </w:p>
    <w:p w14:paraId="5663B85D">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推进城中村与棚户区环境整治。分三类改造棚户区，改造为功能带动性、品质引领性和特色植入型社区。分四步治理城中村，依次为建设风貌提升、街巷空间提升、基础设施提升和活力业态植入。</w:t>
      </w:r>
    </w:p>
    <w:p w14:paraId="0362D03E">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推进行政办公用地更新。县级行政办公设施逐步退出老城，将县级行政办公设施向行政中心集中建设，商业集聚区的行政办公用地更新为商业用地，小地块改造为城市绿地广场，其余改造为居住用地。</w:t>
      </w:r>
    </w:p>
    <w:bookmarkEnd w:id="828"/>
    <w:bookmarkEnd w:id="829"/>
    <w:p w14:paraId="77F8D852">
      <w:pPr>
        <w:ind w:firstLine="0" w:firstLineChars="0"/>
        <w:rPr>
          <w:rFonts w:ascii="黑体" w:hAnsi="黑体" w:eastAsia="黑体" w:cs="方正小标宋_GBK"/>
          <w:sz w:val="36"/>
          <w:szCs w:val="36"/>
        </w:rPr>
      </w:pPr>
    </w:p>
    <w:p w14:paraId="4C7A3ABD">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bookmarkStart w:id="830" w:name="_Toc19947"/>
      <w:r>
        <w:rPr>
          <w:rFonts w:ascii="黑体" w:hAnsi="黑体" w:eastAsia="黑体" w:cs="方正小标宋_GBK"/>
          <w:bCs w:val="0"/>
          <w:szCs w:val="36"/>
        </w:rPr>
        <w:br w:type="page"/>
      </w:r>
      <w:r>
        <w:rPr>
          <w:rFonts w:hint="eastAsia" w:ascii="黑体" w:hAnsi="黑体" w:eastAsia="黑体" w:cs="方正小标宋_GBK"/>
          <w:bCs w:val="0"/>
          <w:szCs w:val="36"/>
        </w:rPr>
        <w:t>第八章 历史文化保护与城乡风貌</w:t>
      </w:r>
      <w:bookmarkEnd w:id="830"/>
    </w:p>
    <w:p w14:paraId="739E20EC">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831" w:name="_Toc26365"/>
      <w:r>
        <w:rPr>
          <w:rFonts w:hint="eastAsia" w:ascii="黑体" w:hAnsi="黑体" w:cs="黑体"/>
          <w:bCs w:val="0"/>
        </w:rPr>
        <w:t>第一节 历史文化遗产保护与利用</w:t>
      </w:r>
      <w:bookmarkEnd w:id="831"/>
    </w:p>
    <w:p w14:paraId="241F3ADC">
      <w:pPr>
        <w:pStyle w:val="4"/>
        <w:ind w:firstLine="640"/>
      </w:pPr>
      <w:r>
        <w:rPr>
          <w:rFonts w:hint="eastAsia"/>
        </w:rPr>
        <w:t>历史文化保护目标</w:t>
      </w:r>
    </w:p>
    <w:p w14:paraId="7A7A53F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历史文化遗产保护分为物质文化遗产保护和非物质文化遗产保护。加强文物保护利用和文化遗产保护传承，充分挖掘和保护各类历史文化资源，建立健全的城乡历史文化遗产保护体系，完善保护制度和机制，强化对历史文化遗产的整体性保护，完善历史村镇与村落的规划与引导，将历史文化融入城市的风貌建设，凸显崇阳文化内涵。</w:t>
      </w:r>
    </w:p>
    <w:p w14:paraId="6E062F4B">
      <w:pPr>
        <w:pStyle w:val="4"/>
        <w:ind w:firstLine="640"/>
      </w:pPr>
      <w:r>
        <w:rPr>
          <w:rFonts w:hint="eastAsia"/>
        </w:rPr>
        <w:t>构建历史文化保护传承体系</w:t>
      </w:r>
    </w:p>
    <w:p w14:paraId="7AB16D3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整体保护崇阳县县域范围内的自然环境、古镇古村、文物古迹、历史建筑、历史信息以及古树名木等自然景观和文化遗产，弘扬革命精神。深入挖掘古镇资源，积极申报历史文化名镇，建立以历史文化名镇和传统村落为核心，文物保护单位、历史建筑为节点，非物质文化遗产为补充的历史文化保护传承体系。建立健全地上文物“先调查、后建设”，地下文物“先考古、后出让的工作机制。</w:t>
      </w:r>
    </w:p>
    <w:p w14:paraId="5F3D10B4">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世界灌溉工程遗产保护。严格执行《中华人民共和国水法》《中华人民共和国文物保护法》等有关法律法规的要求，重点保护世界灌溉工程遗产白霓古堰（石枧偃和远陂偃），更好传承具有历史意义的灌溉工程所蕴含的理念和智慧，保护珍贵的历史文化遗产。积极推动省市出台地方性世界灌溉工程遗产保护条例，划定核心保护区和一般保护区进行分级保护。</w:t>
      </w:r>
    </w:p>
    <w:p w14:paraId="4728A23A">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历史文化名镇</w:t>
      </w:r>
      <w:r>
        <w:rPr>
          <w:rFonts w:ascii="仿宋" w:hAnsi="仿宋" w:eastAsia="仿宋" w:cs="仿宋_GB2312"/>
          <w:kern w:val="0"/>
          <w:szCs w:val="32"/>
          <w:u w:val="none"/>
          <w:shd w:val="clear" w:color="auto" w:fill="FFFFFF"/>
        </w:rPr>
        <w:t>：</w:t>
      </w:r>
      <w:r>
        <w:rPr>
          <w:rFonts w:hint="eastAsia" w:ascii="仿宋" w:hAnsi="仿宋" w:eastAsia="仿宋" w:cs="仿宋_GB2312"/>
          <w:kern w:val="0"/>
          <w:szCs w:val="32"/>
          <w:u w:val="none"/>
          <w:shd w:val="clear" w:color="auto" w:fill="FFFFFF"/>
        </w:rPr>
        <w:t>结合回头岭村、郭家岭村、纸棚村、金星村等历史文化名村及传统村落为载体，积极申报白霓镇为</w:t>
      </w:r>
      <w:r>
        <w:rPr>
          <w:rFonts w:ascii="仿宋" w:hAnsi="仿宋" w:eastAsia="仿宋" w:cs="仿宋_GB2312"/>
          <w:kern w:val="0"/>
          <w:szCs w:val="32"/>
          <w:u w:val="none"/>
          <w:shd w:val="clear" w:color="auto" w:fill="FFFFFF"/>
        </w:rPr>
        <w:t>省</w:t>
      </w:r>
      <w:r>
        <w:rPr>
          <w:rFonts w:hint="eastAsia" w:ascii="仿宋" w:hAnsi="仿宋" w:eastAsia="仿宋" w:cs="仿宋_GB2312"/>
          <w:kern w:val="0"/>
          <w:szCs w:val="32"/>
          <w:u w:val="none"/>
          <w:shd w:val="clear" w:color="auto" w:fill="FFFFFF"/>
        </w:rPr>
        <w:t>级历史文化名镇，保护镇区及传统村落的整体格局和传统风貌，强化对资源的展示利用。</w:t>
      </w:r>
    </w:p>
    <w:p w14:paraId="2152D82B">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历史文化名村：整体保护省级历史文化名村回头岭村，划定核心保护范围和建设控制地带，保持传统格局、历史风貌和空间尺度，保存原有建（构）筑物的真实性和完整性，注重协调保护与其相互依存的自然山水环境。</w:t>
      </w:r>
    </w:p>
    <w:p w14:paraId="53FF87C3">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传统村落：做好回头岭村、郭家岭村、纸棚村、金星村等</w:t>
      </w:r>
      <w:r>
        <w:rPr>
          <w:rFonts w:ascii="Times New Roman" w:hAnsi="Times New Roman" w:eastAsia="仿宋"/>
          <w:kern w:val="0"/>
          <w:szCs w:val="32"/>
          <w:u w:val="none"/>
          <w:shd w:val="clear" w:color="auto" w:fill="FFFFFF"/>
        </w:rPr>
        <w:t>4</w:t>
      </w:r>
      <w:r>
        <w:rPr>
          <w:rFonts w:hint="eastAsia" w:ascii="仿宋" w:hAnsi="仿宋" w:eastAsia="仿宋" w:cs="仿宋_GB2312"/>
          <w:kern w:val="0"/>
          <w:szCs w:val="32"/>
          <w:u w:val="none"/>
          <w:shd w:val="clear" w:color="auto" w:fill="FFFFFF"/>
        </w:rPr>
        <w:t>个传统村落的保护工作，充分挖掘历史资源，协调好保护与发展的关系，全面保护村落的传统遗址、格局、风貌以及自然和田园景观等整体空间形态与环境，延续传统存在风貌特色。整治和完善村内道路、供水、垃圾和污水治理等基础设施，改善人居环境品质。</w:t>
      </w:r>
    </w:p>
    <w:p w14:paraId="7BE1F0E5">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历史建筑：加强现状</w:t>
      </w:r>
      <w:r>
        <w:rPr>
          <w:rFonts w:hint="eastAsia" w:ascii="仿宋" w:hAnsi="仿宋" w:eastAsia="仿宋" w:cs="仿宋_GB2312"/>
          <w:kern w:val="0"/>
          <w:szCs w:val="32"/>
          <w:u w:val="none"/>
          <w:shd w:val="clear" w:color="auto" w:fill="FFFFFF"/>
        </w:rPr>
        <w:t>县级</w:t>
      </w:r>
      <w:r>
        <w:rPr>
          <w:rFonts w:ascii="仿宋" w:hAnsi="仿宋" w:eastAsia="仿宋" w:cs="仿宋_GB2312"/>
          <w:kern w:val="0"/>
          <w:szCs w:val="32"/>
          <w:u w:val="none"/>
          <w:shd w:val="clear" w:color="auto" w:fill="FFFFFF"/>
        </w:rPr>
        <w:t>历史建筑的保护利用，设置保护标志，建立完善的保护档案，并将保护要求告知产权人和使用人，在满足历史建筑保护的前提下，支持和鼓励其合理利用，丰富业态、活化功能。完善历史建筑普查与登记制度，加快推动历史建筑的普查与登记。</w:t>
      </w:r>
    </w:p>
    <w:p w14:paraId="09DBF137">
      <w:pPr>
        <w:widowControl/>
        <w:spacing w:line="560" w:lineRule="exact"/>
        <w:ind w:firstLine="200" w:firstLineChars="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文保单位的保护：崇阳县现有古文化遗址、古墓葬、古建筑、石刻、近现代重要史迹及代表性建筑等各类文保单位</w:t>
      </w:r>
      <w:r>
        <w:rPr>
          <w:rFonts w:ascii="Times New Roman" w:hAnsi="Times New Roman" w:eastAsia="仿宋"/>
          <w:kern w:val="0"/>
          <w:szCs w:val="32"/>
          <w:u w:val="none"/>
          <w:shd w:val="clear" w:color="auto" w:fill="FFFFFF"/>
        </w:rPr>
        <w:t>111</w:t>
      </w:r>
      <w:r>
        <w:rPr>
          <w:rFonts w:ascii="仿宋" w:hAnsi="仿宋" w:eastAsia="仿宋" w:cs="仿宋_GB2312"/>
          <w:kern w:val="0"/>
          <w:szCs w:val="32"/>
          <w:u w:val="none"/>
          <w:shd w:val="clear" w:color="auto" w:fill="FFFFFF"/>
        </w:rPr>
        <w:t>处，其中省级</w:t>
      </w:r>
      <w:r>
        <w:rPr>
          <w:rFonts w:ascii="Times New Roman" w:hAnsi="Times New Roman" w:eastAsia="仿宋"/>
          <w:kern w:val="0"/>
          <w:szCs w:val="32"/>
          <w:u w:val="none"/>
          <w:shd w:val="clear" w:color="auto" w:fill="FFFFFF"/>
        </w:rPr>
        <w:t>10</w:t>
      </w:r>
      <w:r>
        <w:rPr>
          <w:rFonts w:ascii="仿宋" w:hAnsi="仿宋" w:eastAsia="仿宋" w:cs="仿宋_GB2312"/>
          <w:kern w:val="0"/>
          <w:szCs w:val="32"/>
          <w:u w:val="none"/>
          <w:shd w:val="clear" w:color="auto" w:fill="FFFFFF"/>
        </w:rPr>
        <w:t>处，县级</w:t>
      </w:r>
      <w:r>
        <w:rPr>
          <w:rFonts w:ascii="Times New Roman" w:hAnsi="Times New Roman" w:eastAsia="仿宋"/>
          <w:kern w:val="0"/>
          <w:szCs w:val="32"/>
          <w:u w:val="none"/>
          <w:shd w:val="clear" w:color="auto" w:fill="FFFFFF"/>
        </w:rPr>
        <w:t>101</w:t>
      </w:r>
      <w:r>
        <w:rPr>
          <w:rFonts w:ascii="仿宋" w:hAnsi="仿宋" w:eastAsia="仿宋" w:cs="仿宋_GB2312"/>
          <w:kern w:val="0"/>
          <w:szCs w:val="32"/>
          <w:u w:val="none"/>
          <w:shd w:val="clear" w:color="auto" w:fill="FFFFFF"/>
        </w:rPr>
        <w:t>处，以及未定级不可移动文物，及时落实动态补划要求，不可移动文物保护的保护原则，为不改变文物原状和最小干预的原则。贯彻“保护为主、抢救第一、合理利用、加强管理”的文物工作方针，和“保护第一、加强管理、挖掘价值、有效利用、让文物活起来”的工作要求，实施原址、原物、原状保护，保护真实的历史信息。加强文物本体和历史环境的整体保护，注重保护与文物价值关联的自然环境和人文景观，明确保护要求和管理责任。严格建设用地规划建设符合性论证，落实土地储备考古前置，地上文物“先调查、后建设”，地下文物“先考古、后出让”等基本建设考古制度。根据文物调查及历年考古发掘，划定地下文物埋藏区，加强地下文物埋藏区的考古调查、勘探。</w:t>
      </w:r>
    </w:p>
    <w:p w14:paraId="1A93744A">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古建筑、近现代重要史迹及代表性建筑的保护：县域范围内的这类建筑主要有米应生故居、王世杰故居、寿昌县苏维埃政府旧址等，应对该类建筑进行修缮保养，保持原貌，在保护区内严禁修建任何无关建筑，加强绿化配置。建设控制地带内应加强对四周环境风貌的控制，逐步拆除有损风貌的一切建筑物和构筑物，新修的建筑物和构筑物不得破坏其环境风貌，加强空间视廊的保护。古建筑、近现代重要史迹及代表性建筑的保护范围和建设控制地带的划定按照文物部门划定的界限严格执行。</w:t>
      </w:r>
    </w:p>
    <w:p w14:paraId="4B639AE8">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古文化遗址、古墓葬、石刻的保护：这类文保单位的保护范围及建设控制地带以文物部门划定的界限为准。在划定的古遗址、古墓葬、石刻保护范围内，应禁止一切建设活动，并进行绿化围护，不准破坏地形地貌。对地面实物遗存较多的遗址，首先要进行环境保护，排除严重影响文物安全的因素，并对实物遗存实施防护加固工程，且保护区内不得进行其他建设工程，严禁乱堆乱挖危及文物安全，不得进行影响遗址安全的生产和社会活动。建设控制地带内严格控制大型水利工程和房屋建设，控制周围环境风貌。任何单位和个人在基本建设和生产活动中，发现古遗址、古墓葬或其他文物的，必须立即停止施工，保护好现场，及时报告文物行政管理部门处理。</w:t>
      </w:r>
    </w:p>
    <w:p w14:paraId="2D08DDC8">
      <w:pPr>
        <w:pStyle w:val="4"/>
        <w:ind w:firstLine="640"/>
      </w:pPr>
      <w:r>
        <w:rPr>
          <w:rFonts w:hint="eastAsia"/>
        </w:rPr>
        <w:t>历史文化保护线</w:t>
      </w:r>
    </w:p>
    <w:p w14:paraId="0707D859">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加强文化遗产的全域全要素规划管控，</w:t>
      </w:r>
      <w:r>
        <w:rPr>
          <w:rFonts w:ascii="仿宋" w:hAnsi="仿宋" w:eastAsia="仿宋" w:cs="仿宋_GB2312"/>
          <w:kern w:val="0"/>
          <w:szCs w:val="32"/>
          <w:u w:val="none"/>
          <w:shd w:val="clear" w:color="auto" w:fill="FFFFFF"/>
        </w:rPr>
        <w:t>分类划定历史文化保护线。包括</w:t>
      </w:r>
      <w:r>
        <w:rPr>
          <w:rFonts w:ascii="Times New Roman" w:hAnsi="Times New Roman" w:eastAsia="仿宋"/>
          <w:kern w:val="0"/>
          <w:szCs w:val="32"/>
          <w:u w:val="none"/>
          <w:shd w:val="clear" w:color="auto" w:fill="FFFFFF"/>
        </w:rPr>
        <w:t>1</w:t>
      </w:r>
      <w:r>
        <w:rPr>
          <w:rFonts w:ascii="仿宋" w:hAnsi="仿宋" w:eastAsia="仿宋" w:cs="仿宋_GB2312"/>
          <w:kern w:val="0"/>
          <w:szCs w:val="32"/>
          <w:u w:val="none"/>
          <w:shd w:val="clear" w:color="auto" w:fill="FFFFFF"/>
        </w:rPr>
        <w:t>处世界灌溉工程遗产、省级文物保护单位</w:t>
      </w:r>
      <w:r>
        <w:rPr>
          <w:rFonts w:ascii="Times New Roman" w:hAnsi="Times New Roman" w:eastAsia="仿宋"/>
          <w:kern w:val="0"/>
          <w:szCs w:val="32"/>
          <w:u w:val="none"/>
          <w:shd w:val="clear" w:color="auto" w:fill="FFFFFF"/>
        </w:rPr>
        <w:t>10</w:t>
      </w:r>
      <w:r>
        <w:rPr>
          <w:rFonts w:ascii="仿宋" w:hAnsi="仿宋" w:eastAsia="仿宋" w:cs="仿宋_GB2312"/>
          <w:kern w:val="0"/>
          <w:szCs w:val="32"/>
          <w:u w:val="none"/>
          <w:shd w:val="clear" w:color="auto" w:fill="FFFFFF"/>
        </w:rPr>
        <w:t>处、县级文物保护单位</w:t>
      </w:r>
      <w:r>
        <w:rPr>
          <w:rFonts w:ascii="Times New Roman" w:hAnsi="Times New Roman" w:eastAsia="仿宋"/>
          <w:kern w:val="0"/>
          <w:szCs w:val="32"/>
          <w:u w:val="none"/>
          <w:shd w:val="clear" w:color="auto" w:fill="FFFFFF"/>
        </w:rPr>
        <w:t>101</w:t>
      </w:r>
      <w:r>
        <w:rPr>
          <w:rFonts w:ascii="仿宋" w:hAnsi="仿宋" w:eastAsia="仿宋" w:cs="仿宋_GB2312"/>
          <w:kern w:val="0"/>
          <w:szCs w:val="32"/>
          <w:u w:val="none"/>
          <w:shd w:val="clear" w:color="auto" w:fill="FFFFFF"/>
        </w:rPr>
        <w:t>处、历史建筑</w:t>
      </w:r>
      <w:r>
        <w:rPr>
          <w:rFonts w:ascii="Times New Roman" w:hAnsi="Times New Roman" w:eastAsia="仿宋"/>
          <w:kern w:val="0"/>
          <w:szCs w:val="32"/>
          <w:u w:val="none"/>
          <w:shd w:val="clear" w:color="auto" w:fill="FFFFFF"/>
        </w:rPr>
        <w:t>49</w:t>
      </w:r>
      <w:r>
        <w:rPr>
          <w:rFonts w:ascii="仿宋" w:hAnsi="仿宋" w:eastAsia="仿宋" w:cs="仿宋_GB2312"/>
          <w:kern w:val="0"/>
          <w:szCs w:val="32"/>
          <w:u w:val="none"/>
          <w:shd w:val="clear" w:color="auto" w:fill="FFFFFF"/>
        </w:rPr>
        <w:t>处等</w:t>
      </w:r>
      <w:r>
        <w:rPr>
          <w:rFonts w:hint="eastAsia" w:ascii="仿宋" w:hAnsi="仿宋" w:eastAsia="仿宋" w:cs="仿宋_GB2312"/>
          <w:kern w:val="0"/>
          <w:szCs w:val="32"/>
          <w:u w:val="none"/>
          <w:shd w:val="clear" w:color="auto" w:fill="FFFFFF"/>
        </w:rPr>
        <w:t>保护</w:t>
      </w:r>
      <w:r>
        <w:rPr>
          <w:rFonts w:ascii="仿宋" w:hAnsi="仿宋" w:eastAsia="仿宋" w:cs="仿宋_GB2312"/>
          <w:kern w:val="0"/>
          <w:szCs w:val="32"/>
          <w:u w:val="none"/>
          <w:shd w:val="clear" w:color="auto" w:fill="FFFFFF"/>
        </w:rPr>
        <w:t>范围</w:t>
      </w:r>
      <w:r>
        <w:rPr>
          <w:rFonts w:hint="eastAsia" w:ascii="仿宋" w:hAnsi="仿宋" w:eastAsia="仿宋" w:cs="仿宋_GB2312"/>
          <w:kern w:val="0"/>
          <w:szCs w:val="32"/>
          <w:u w:val="none"/>
          <w:shd w:val="clear" w:color="auto" w:fill="FFFFFF"/>
        </w:rPr>
        <w:t>和建设控制地带纳入历史文化保护线。尚未核定公布为文物保护单位的不可移动文物、历史建筑等文化遗产的保护范围并纳入历史文化保护线。将文物保护单位保护范围和建设控制地带统一纳入历史文化保护控制线体系，作为刚性管控依据</w:t>
      </w:r>
      <w:r>
        <w:rPr>
          <w:rFonts w:ascii="仿宋" w:hAnsi="仿宋" w:eastAsia="仿宋" w:cs="仿宋_GB2312"/>
          <w:kern w:val="0"/>
          <w:szCs w:val="32"/>
          <w:u w:val="none"/>
          <w:shd w:val="clear" w:color="auto" w:fill="FFFFFF"/>
        </w:rPr>
        <w:t>。及时落实动态补划要求，根据第四次全国文物普查结果，更新划定历史文化保护线，</w:t>
      </w:r>
      <w:r>
        <w:rPr>
          <w:rFonts w:hint="eastAsia" w:ascii="仿宋" w:hAnsi="仿宋" w:eastAsia="仿宋" w:cs="仿宋_GB2312"/>
          <w:kern w:val="0"/>
          <w:szCs w:val="32"/>
          <w:u w:val="none"/>
          <w:shd w:val="clear" w:color="auto" w:fill="FFFFFF"/>
        </w:rPr>
        <w:t>并纳入国土空间规划“一张图”</w:t>
      </w:r>
      <w:r>
        <w:rPr>
          <w:rFonts w:ascii="仿宋" w:hAnsi="仿宋" w:eastAsia="仿宋" w:cs="仿宋_GB2312"/>
          <w:kern w:val="0"/>
          <w:szCs w:val="32"/>
          <w:u w:val="none"/>
          <w:shd w:val="clear" w:color="auto" w:fill="FFFFFF"/>
        </w:rPr>
        <w:t>实施监督信息系统</w:t>
      </w:r>
      <w:r>
        <w:rPr>
          <w:rFonts w:hint="eastAsia" w:ascii="仿宋" w:hAnsi="仿宋" w:eastAsia="仿宋" w:cs="仿宋_GB2312"/>
          <w:kern w:val="0"/>
          <w:szCs w:val="32"/>
          <w:u w:val="none"/>
          <w:shd w:val="clear" w:color="auto" w:fill="FFFFFF"/>
        </w:rPr>
        <w:t>。</w:t>
      </w:r>
    </w:p>
    <w:p w14:paraId="49640F65">
      <w:pPr>
        <w:pStyle w:val="4"/>
        <w:ind w:firstLine="640"/>
      </w:pPr>
      <w:r>
        <w:rPr>
          <w:rFonts w:hint="eastAsia"/>
        </w:rPr>
        <w:t>非物质文化遗产保护</w:t>
      </w:r>
    </w:p>
    <w:p w14:paraId="26158F0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保护以提琴戏为代表的非物质文化遗产，应遵循“保护为主、抢救第一、合理利用、传承发展”的指导方针，“政府主导、社会参与，明确职责、形成合力，长远规划、分步实施，点面结合、讲求实效”的工作原则，保护非物质文化遗产生存的历史环境及其物质载体。</w:t>
      </w:r>
    </w:p>
    <w:p w14:paraId="1755C44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以崇阳县的商代铜鼓文化、提琴戏文化、方言文化、古堰文化等为依托，挖掘‘水滴石穿’崇阳精神，塑造“魅力山水·有味崇阳”文旅品牌，以“隽水天城”民俗风情歌舞、“提琴戏”特色戏曲和“水滴石穿”“崇阳方言”等本地文博知识宣教为载体，推进农文旅融合发展，实现“以文促旅、以旅彰文”。</w:t>
      </w:r>
    </w:p>
    <w:p w14:paraId="327E7D88">
      <w:pPr>
        <w:pStyle w:val="4"/>
        <w:ind w:firstLine="640"/>
      </w:pPr>
      <w:r>
        <w:rPr>
          <w:rFonts w:hint="eastAsia"/>
        </w:rPr>
        <w:t>历史文化资源活化利用策略</w:t>
      </w:r>
    </w:p>
    <w:p w14:paraId="1B80BAF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实施“文化+”发展战略，以加快新闻出版、广播电视、广告传媒等传统文化产业转型升级，加强文化产业与制造、建筑、信息、旅游、体育、特色农业等产业融合，提高物质产品的文化附加值。依托天城镇茅井村优美宁静的自然环境和白霓镇浪口村优质的温泉资源等，围绕健身赛事、康复医疗、中医养生、老年文化等产业，打造康养文化产业基地。创新文化产业业态，重点培育文化旅游商品加工、影视演艺、现代文化娱乐、文化养生等新型文化产业。推动非遗项目和非遗技艺市场化、商品化，培育壮大一批文化旅游商品加工企业，促进文化资源与市场、产业紧密对接。</w:t>
      </w:r>
    </w:p>
    <w:p w14:paraId="2357A5F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合理布局特色鲜明、主业突出、集聚度高、带动性强的文化产业项目。挖掘本地地域文化特色，开发多种旅游纪念品，围绕樱花、野桂花、茶、竹、提琴、铜鼓、隽水河等内容，融合地方语言、名人等进行主题文创商品开发，同时保证旅游商品要差异化。把发展创意设计服务业作为助推高端制造业提质升级的重要突破口，增强艺术创意设计对相关产业的渗透提升和带动作用，运用数字技术，推动以内容生产为核心的全产业链发展，完善现代影视产业体系，鼓励数字技术、模式、产品、业态创新，鼓励VR、AR、元宇宙、区块链等新技术应用于文化产业，提升木雕、石刻、竹雕、根雕、刺绣、剪纸、艺术陶瓷等工艺门类产业化水平，不断扩大优质数字文化产品供给，大力支持文化产业新业态发展。</w:t>
      </w:r>
    </w:p>
    <w:p w14:paraId="5C35056E">
      <w:pPr>
        <w:pStyle w:val="4"/>
        <w:ind w:firstLine="640"/>
      </w:pPr>
      <w:r>
        <w:rPr>
          <w:rFonts w:hint="eastAsia"/>
        </w:rPr>
        <w:t>大力发展全域旅游</w:t>
      </w:r>
    </w:p>
    <w:p w14:paraId="63E0903C">
      <w:pPr>
        <w:widowControl/>
        <w:spacing w:line="560" w:lineRule="exact"/>
        <w:ind w:firstLine="640"/>
        <w:jc w:val="both"/>
        <w:rPr>
          <w:rFonts w:ascii="仿宋" w:hAnsi="仿宋" w:eastAsia="仿宋" w:cs="仿宋_GB2312"/>
          <w:kern w:val="0"/>
          <w:szCs w:val="32"/>
          <w:shd w:val="clear" w:color="auto" w:fill="FFFFFF"/>
          <w:lang w:bidi="ar"/>
        </w:rPr>
      </w:pPr>
      <w:bookmarkStart w:id="832" w:name="OLE_LINK15"/>
      <w:bookmarkStart w:id="833" w:name="OLE_LINK14"/>
      <w:r>
        <w:rPr>
          <w:rFonts w:ascii="仿宋" w:hAnsi="仿宋" w:eastAsia="仿宋" w:cs="仿宋_GB2312"/>
          <w:kern w:val="0"/>
          <w:szCs w:val="32"/>
          <w:shd w:val="clear" w:color="auto" w:fill="FFFFFF"/>
          <w:lang w:bidi="ar"/>
        </w:rPr>
        <w:t>突出“魅力山水·有味崇阳”旅游主题，整合历史文化及旅游资源，提升旅游品牌，争创湖北省全域旅游示范县。优化旅游布局，以幕阜山旅游公路、重要国省道、城乡快捷通道为轴线，优化“一核三带，四位一体”旅游产业空间布局。即综合旅游服务核、隽水沿岸风光带，北部山区自然体验带，东部休闲生态产业带，以幕阜山生态旅游公路为串联，“一核三带”构成崇阳全域旅游“四位一体”，全力打造成融旅游、观光、康养、休闲、娱乐于一体的全域综合旅游消费区。</w:t>
      </w:r>
      <w:bookmarkEnd w:id="832"/>
      <w:bookmarkEnd w:id="833"/>
    </w:p>
    <w:p w14:paraId="17FFC0E9">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834" w:name="_Toc20516"/>
      <w:r>
        <w:rPr>
          <w:rFonts w:hint="eastAsia" w:ascii="黑体" w:hAnsi="黑体" w:cs="黑体"/>
          <w:bCs w:val="0"/>
        </w:rPr>
        <w:t>第二节 城乡风貌体系建设</w:t>
      </w:r>
      <w:bookmarkEnd w:id="834"/>
    </w:p>
    <w:p w14:paraId="72807BD9">
      <w:pPr>
        <w:pStyle w:val="4"/>
        <w:ind w:firstLine="640"/>
      </w:pPr>
      <w:r>
        <w:rPr>
          <w:rFonts w:hint="eastAsia"/>
        </w:rPr>
        <w:t>总体风貌特色定位</w:t>
      </w:r>
    </w:p>
    <w:p w14:paraId="7FEE026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突出崇阳县的“山聚南北，水贯东西”的山水格局，营造体现幕阜山地域特色的山水城市，保护并挖掘历史文化资源，打造山水交融的生态绿谷、文旅创新的活力之城、历史浸润的人文故里、城乡共生的宜居典范。以“灵秀山水间，古韵崇阳城”的总体风貌定位，突出崇阳兼具自然灵秀与历史古韵的独特魅力，打造集山水生态之美与历史人文之厚于一体的总体风貌特色。</w:t>
      </w:r>
    </w:p>
    <w:p w14:paraId="3B04C7C1">
      <w:pPr>
        <w:pStyle w:val="4"/>
        <w:ind w:firstLine="640"/>
      </w:pPr>
      <w:r>
        <w:rPr>
          <w:rFonts w:hint="eastAsia"/>
        </w:rPr>
        <w:t>城乡风貌特色分区</w:t>
      </w:r>
    </w:p>
    <w:p w14:paraId="5DB10A69">
      <w:pPr>
        <w:widowControl/>
        <w:spacing w:line="560" w:lineRule="exact"/>
        <w:ind w:firstLine="640"/>
        <w:jc w:val="both"/>
        <w:rPr>
          <w:rFonts w:ascii="仿宋" w:hAnsi="仿宋" w:eastAsia="仿宋" w:cs="仿宋_GB2312"/>
          <w:kern w:val="0"/>
          <w:szCs w:val="32"/>
          <w:shd w:val="clear" w:color="auto" w:fill="FFFFFF"/>
        </w:rPr>
      </w:pPr>
      <w:bookmarkStart w:id="835" w:name="OLE_LINK17"/>
      <w:bookmarkStart w:id="836" w:name="OLE_LINK16"/>
      <w:r>
        <w:rPr>
          <w:rFonts w:ascii="仿宋" w:hAnsi="仿宋" w:eastAsia="仿宋" w:cs="仿宋_GB2312"/>
          <w:kern w:val="0"/>
          <w:szCs w:val="32"/>
          <w:shd w:val="clear" w:color="auto" w:fill="FFFFFF"/>
        </w:rPr>
        <w:t>东南部幕阜山林风貌片区：凸显幕阜山区域的自然山林生态本底，强化与文化交融的特色魅力，塑造层峦叠嶂、青山耸翠的森林风貌片区。加强山体、绿楔、绿环周边空间控制，强化是景观廊道和城市天际线管控。</w:t>
      </w:r>
    </w:p>
    <w:p w14:paraId="3B36293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中部历史人文风貌区：突出该区域丰富的历史文化资源本底，强调传统民俗风貌与现代农业风貌有机融合，传承历史文化及提升乡土资源特色，控制建筑高度和密度，彰显历史文化和农耕传统特色风貌。</w:t>
      </w:r>
    </w:p>
    <w:p w14:paraId="55EE5C3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中部田园风貌区：田园风光与农业传统风貌相融合，强化农业生产对自然田园风貌的保护，传承与提升乡土气息，展现广袤的农田、规整的田园景观以及现代相结合的农耕场景。通过特色农业产业，如雷竹、菜叶种植等，塑造浓郁农耕文化特色的田园风情体验的风貌。</w:t>
      </w:r>
    </w:p>
    <w:p w14:paraId="609022A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中北部沿河风貌区：突出隽水河、浪口湿地公园、金沙避暑山庄等旅游资源，营造自然山水融合风貌。重点保护河道湿地岸线资源，控制建筑高度和密度，营造城市与山水融合的沿河风貌特色。</w:t>
      </w:r>
    </w:p>
    <w:p w14:paraId="4BE1F1A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和西北部山林风光风貌片区：以北部大幕山区域自然山林为本底，突出山林自然景观风貌，强化视线景观廊道控制。引导村庄发展生态旅游、森林康养等产业在建设中注重建筑与自然景观的协调性，控制建筑高度与密度。</w:t>
      </w:r>
    </w:p>
    <w:p w14:paraId="54F6709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城乡融合风貌区：以中心城区及经济开发区为重点，注重城市与乡村风貌融合，控制</w:t>
      </w:r>
      <w:r>
        <w:rPr>
          <w:rFonts w:hint="eastAsia" w:ascii="仿宋" w:hAnsi="仿宋" w:eastAsia="仿宋" w:cs="仿宋_GB2312"/>
          <w:kern w:val="0"/>
          <w:szCs w:val="32"/>
          <w:shd w:val="clear" w:color="auto" w:fill="FFFFFF"/>
        </w:rPr>
        <w:t>中心城区</w:t>
      </w:r>
      <w:r>
        <w:rPr>
          <w:rFonts w:ascii="仿宋" w:hAnsi="仿宋" w:eastAsia="仿宋" w:cs="仿宋_GB2312"/>
          <w:kern w:val="0"/>
          <w:szCs w:val="32"/>
          <w:shd w:val="clear" w:color="auto" w:fill="FFFFFF"/>
        </w:rPr>
        <w:t>、工业园区天际线、景观视线廊、建筑色彩、建筑高度与密度，建设建筑风格多元，融合现代设计理念与崇阳地域文化元素，展现城市的活力与发展，彰显宜居宜业宜产的特色风貌。</w:t>
      </w:r>
    </w:p>
    <w:bookmarkEnd w:id="835"/>
    <w:bookmarkEnd w:id="836"/>
    <w:p w14:paraId="34302897">
      <w:pPr>
        <w:pStyle w:val="4"/>
        <w:ind w:firstLine="640"/>
      </w:pPr>
      <w:r>
        <w:rPr>
          <w:rFonts w:hint="eastAsia"/>
        </w:rPr>
        <w:t>城市地区风貌分区指引</w:t>
      </w:r>
    </w:p>
    <w:p w14:paraId="37C3AA2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中心城区加强自然山体、水体与城市建设之间的空间联系，实施城市风貌、色彩、天际线等空间形态要素管控划分五类风貌分区。</w:t>
      </w:r>
    </w:p>
    <w:p w14:paraId="2731DCC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中活力商贸风貌区。依托隽水河，建设隽水河滨水公园，串联公共服务设施。基于老城生活空间，通过城市更新，完善基础设施建设，形成活力街区，建筑风貌注重面向未来，体现创新风尚与现代气息，营造便于创意交流、信息交换的开放空间环境。</w:t>
      </w:r>
    </w:p>
    <w:p w14:paraId="4299BA0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西现代居住风貌区。加强与隽水河两岸的景观风貌建设与中心城区老城区的统筹控制，彰显一河两岸的特色景观，建筑风貌体现地方色彩与文化，和滨水景观风貌协调，新改造地区建筑布局宜以开放式小尺度街区为主，加强隽水河两侧城市景观的打造和提升。</w:t>
      </w:r>
    </w:p>
    <w:p w14:paraId="1F93F97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南产城融合风貌区。片区主要以城南工业园为主，配套居住生活片区体现崇阳现代工业建筑风貌，功能以高新工业和健康产业以及居住等相关综合配套为主，应注重沿街建筑立面的统一，建筑特色以现代风格，同时体现崇阳工业形象。</w:t>
      </w:r>
    </w:p>
    <w:p w14:paraId="53D93B2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东生态康养风貌区。结合水系湿地景观，推进生态湿地公园、隽水天城休闲度假项目，建设美好人居环境，打造“生态、野趣、康养”的局部景观风貌与“绿色生态”的整体片区风貌。本区域着重打造高品质人居环境，建筑形态注重轻盈、灵巧，宜以小尺度街区为主。</w:t>
      </w:r>
    </w:p>
    <w:p w14:paraId="22A1BC0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北行政服务风貌区。以行政办公建筑为主，将山林景观元素融入片区内部。强调行政文化的职能与地方特色相结合，建筑高度以小高层、多层为主，以中低密度为主，以融入山体为目标，体现序列感与韵律感，减少对周边片区以及生态廊道的不利影响。</w:t>
      </w:r>
    </w:p>
    <w:p w14:paraId="0DD967D2">
      <w:pPr>
        <w:pStyle w:val="4"/>
        <w:ind w:firstLine="640"/>
      </w:pPr>
      <w:r>
        <w:rPr>
          <w:rFonts w:hint="eastAsia"/>
        </w:rPr>
        <w:t>乡村地区风貌指引</w:t>
      </w:r>
    </w:p>
    <w:p w14:paraId="716B794D">
      <w:pPr>
        <w:widowControl/>
        <w:spacing w:line="560" w:lineRule="exact"/>
        <w:ind w:firstLine="640"/>
        <w:jc w:val="both"/>
        <w:rPr>
          <w:rFonts w:ascii="仿宋" w:hAnsi="仿宋" w:eastAsia="仿宋" w:cs="仿宋_GB2312"/>
          <w:kern w:val="0"/>
          <w:szCs w:val="32"/>
          <w:shd w:val="clear" w:color="auto" w:fill="FFFFFF"/>
        </w:rPr>
      </w:pPr>
      <w:bookmarkStart w:id="837" w:name="OLE_LINK18"/>
      <w:bookmarkStart w:id="838" w:name="OLE_LINK19"/>
      <w:r>
        <w:rPr>
          <w:rFonts w:ascii="仿宋" w:hAnsi="仿宋" w:eastAsia="仿宋" w:cs="仿宋_GB2312"/>
          <w:kern w:val="0"/>
          <w:szCs w:val="32"/>
          <w:shd w:val="clear" w:color="auto" w:fill="FFFFFF"/>
        </w:rPr>
        <w:t>按照村庄分类特点，统筹兼顾农村田园风貌保护和环境整治，综合提升田水路林村风貌，使村庄本体、周边山水、农田景观及传统文化形成整体，促进人与自然和谐共生、村庄形态与自然环境相得益彰。有序推进农房及院落风貌整治，持续开展农房建设试点，突出乡土特色和地域特点。顺应村庄发展规律和演进趋势，积极推动村庄基础设施合理布局、配套衔接、提档升级。集聚提升类村庄重在完善人居环境基础设施，推进人居环境与产业融合发展，提升建设管护水平，保护保留乡村风貌，严格控制高层建筑建设。城郊融合类村庄重在加快实现城乡人居环境基础设施互联互通、共建共享。特色保护类村庄重在保护自然历史文化特色资源、尊重原住居民生活形态和生活习惯，加快改善人居环境，凸显历史文化名村、传统村落的历史文化底蕴，彰显地域文化特色。搬迁撤并类村庄重在保持干净整洁，保障现有人居环境基础设施稳定运行。</w:t>
      </w:r>
      <w:bookmarkEnd w:id="837"/>
      <w:bookmarkEnd w:id="838"/>
    </w:p>
    <w:p w14:paraId="3F3DC04E">
      <w:pPr>
        <w:pStyle w:val="4"/>
        <w:ind w:firstLine="640"/>
      </w:pPr>
      <w:r>
        <w:rPr>
          <w:rFonts w:hint="eastAsia"/>
        </w:rPr>
        <w:t>县域山水格局与风貌环境的保护</w:t>
      </w:r>
    </w:p>
    <w:p w14:paraId="4C68B2E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通过生态治理、文化遗产活化、政策法规保障等多维度措施，构建了“生态优先、文化传承、城乡统筹”的保护措施对县域山水格局与风貌环境保护。</w:t>
      </w:r>
    </w:p>
    <w:p w14:paraId="33A65D6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乡统筹。城镇建设实施开发强度控制，统筹山脉轮廓和制高点。严格保护山体之间以及山体和隽水河、青山河的视线廊道，确保与周边山水轮廓线相协调。注重保护幕阜山、大幕山、葛仙山、白崖山、大湖山等山体的自然景观特征，保持幕阜山林、大幕山林片区、隽水河风光带、青山水库、浪口湿地公园等重要山水风貌要素景观魅力。</w:t>
      </w:r>
    </w:p>
    <w:p w14:paraId="463B5FD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生态优先。严格保护大幕山、幕阜山生态屏障、实施封山育林、地质灾害整治措施，维护生态多样性，提升自然生态价值。对隽水河、青山河、高堤河等重要自然水体沿岸。实施河道自然岸线、自然河床的保护。严格保护与生态、景观密切相关的水库，保护青山水库、台山水库、石壁水库、杨林桥水库、香山水库等水库的水质，水库周边禁止一切破坏其水质和周边生态环境的建设行为，保护自然生态风貌。</w:t>
      </w:r>
    </w:p>
    <w:p w14:paraId="11E8FA4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文化传承。强化白霓古偃、回头岭村、纸棚村等具有代表性历史风貌区域实施严格保护，保存完整历史风貌环境。</w:t>
      </w:r>
      <w:r>
        <w:rPr>
          <w:rFonts w:ascii="仿宋" w:hAnsi="仿宋" w:eastAsia="仿宋" w:cs="仿宋_GB2312"/>
          <w:kern w:val="0"/>
          <w:szCs w:val="32"/>
          <w:shd w:val="clear" w:color="auto" w:fill="FFFFFF"/>
          <w:lang w:bidi="ar"/>
        </w:rPr>
        <w:t>展示与利用历史文化街区和历史文化风貌区的空间格局、街巷景观和建筑风貌。</w:t>
      </w:r>
    </w:p>
    <w:p w14:paraId="699EF6A5">
      <w:pPr>
        <w:pStyle w:val="4"/>
        <w:ind w:firstLine="640"/>
      </w:pPr>
      <w:r>
        <w:rPr>
          <w:rFonts w:hint="eastAsia"/>
        </w:rPr>
        <w:t>建设独具魅力的自然生态公园城市</w:t>
      </w:r>
    </w:p>
    <w:p w14:paraId="7E0FDB3A">
      <w:pPr>
        <w:widowControl/>
        <w:spacing w:line="560" w:lineRule="atLeas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大力实施美丽崇阳战略，整体提升支点的生态承力。落实自然生态公园城市建设要求，与人的使用需求相匹配，完善公园绿地体系，加强配套设施建设，推进城市增绿工程，转变山多园少的现实情况，建设郊野公园、综合公园、专类公园、社区公园、口袋公园</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类公园，实现“推门见绿、开门见花、出门见景”。</w:t>
      </w:r>
    </w:p>
    <w:p w14:paraId="60ADA204">
      <w:pPr>
        <w:widowControl/>
        <w:spacing w:line="560" w:lineRule="atLeas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构建全城崇阳绿道体系。坚持人与自然和谐共生，规划建设展现崇阳文化、体现高水平的崇阳绿道，以区域级绿道为骨架，城市级绿道和社区级绿道相互衔接，串联城乡公共开敞空间、丰富居民健康绿色活动的崇阳绿道体系。规划形成的区域级绿道，将城市和乡村串联为一个整体；形成</w:t>
      </w:r>
      <w:r>
        <w:rPr>
          <w:rFonts w:hint="eastAsia" w:ascii="仿宋" w:hAnsi="仿宋" w:eastAsia="仿宋" w:cs="仿宋_GB2312"/>
          <w:kern w:val="0"/>
          <w:szCs w:val="32"/>
          <w:shd w:val="clear" w:color="auto" w:fill="FFFFFF"/>
        </w:rPr>
        <w:t>中心城区</w:t>
      </w:r>
      <w:r>
        <w:rPr>
          <w:rFonts w:ascii="仿宋" w:hAnsi="仿宋" w:eastAsia="仿宋" w:cs="仿宋_GB2312"/>
          <w:kern w:val="0"/>
          <w:szCs w:val="32"/>
          <w:shd w:val="clear" w:color="auto" w:fill="FFFFFF"/>
        </w:rPr>
        <w:t>级绿道在城市各组团内部成网，与</w:t>
      </w:r>
      <w:r>
        <w:rPr>
          <w:rFonts w:hint="eastAsia" w:ascii="仿宋" w:hAnsi="仿宋" w:eastAsia="仿宋" w:cs="仿宋_GB2312"/>
          <w:kern w:val="0"/>
          <w:szCs w:val="32"/>
          <w:shd w:val="clear" w:color="auto" w:fill="FFFFFF"/>
        </w:rPr>
        <w:t>中心城区</w:t>
      </w:r>
      <w:r>
        <w:rPr>
          <w:rFonts w:ascii="仿宋" w:hAnsi="仿宋" w:eastAsia="仿宋" w:cs="仿宋_GB2312"/>
          <w:kern w:val="0"/>
          <w:szCs w:val="32"/>
          <w:shd w:val="clear" w:color="auto" w:fill="FFFFFF"/>
        </w:rPr>
        <w:t>外部区域级绿道相衔接，与城市慢行系统相结合，提高宜居品质，将各个乡镇串联为一个整体；形成</w:t>
      </w:r>
      <w:r>
        <w:rPr>
          <w:rFonts w:hint="eastAsia" w:ascii="仿宋" w:hAnsi="仿宋" w:eastAsia="仿宋" w:cs="仿宋_GB2312"/>
          <w:kern w:val="0"/>
          <w:szCs w:val="32"/>
          <w:shd w:val="clear" w:color="auto" w:fill="FFFFFF"/>
        </w:rPr>
        <w:t>中心城区</w:t>
      </w:r>
      <w:r>
        <w:rPr>
          <w:rFonts w:ascii="仿宋" w:hAnsi="仿宋" w:eastAsia="仿宋" w:cs="仿宋_GB2312"/>
          <w:kern w:val="0"/>
          <w:szCs w:val="32"/>
          <w:shd w:val="clear" w:color="auto" w:fill="FFFFFF"/>
        </w:rPr>
        <w:t>级绿道互相衔接，串联社区内幼儿园、卫生服务中心、文化活动中心、健身场馆、社区养老等设施，强化各社区内部联系。崇阳绿道应具有“生态保障、慢行交通、休闲游览、城乡融合、文化创意、体育运动、农业景观、应急避难”等多种功能。</w:t>
      </w:r>
    </w:p>
    <w:p w14:paraId="5BE94969">
      <w:pPr>
        <w:widowControl/>
        <w:spacing w:line="560" w:lineRule="atLeas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构建星罗棋布、类型多样的公园体系。贯彻“园中建城、城中有园、城园相融、人城和谐”的规划理念，以绿道、水网串联，构建山水生态本底、郊野公园群、城镇绿化网无缝衔接，构建</w:t>
      </w:r>
      <w:r>
        <w:rPr>
          <w:rFonts w:ascii="Times New Roman" w:hAnsi="Times New Roman" w:eastAsia="仿宋"/>
          <w:kern w:val="0"/>
          <w:szCs w:val="32"/>
          <w:shd w:val="clear" w:color="auto" w:fill="FFFFFF"/>
        </w:rPr>
        <w:t>4</w:t>
      </w:r>
      <w:r>
        <w:rPr>
          <w:rFonts w:ascii="仿宋" w:hAnsi="仿宋" w:eastAsia="仿宋" w:cs="仿宋_GB2312"/>
          <w:kern w:val="0"/>
          <w:szCs w:val="32"/>
          <w:shd w:val="clear" w:color="auto" w:fill="FFFFFF"/>
        </w:rPr>
        <w:t>大类、</w:t>
      </w:r>
      <w:r>
        <w:rPr>
          <w:rFonts w:ascii="Times New Roman" w:hAnsi="Times New Roman" w:eastAsia="仿宋"/>
          <w:kern w:val="0"/>
          <w:szCs w:val="32"/>
          <w:shd w:val="clear" w:color="auto" w:fill="FFFFFF"/>
        </w:rPr>
        <w:t>12</w:t>
      </w:r>
      <w:r>
        <w:rPr>
          <w:rFonts w:ascii="仿宋" w:hAnsi="仿宋" w:eastAsia="仿宋" w:cs="仿宋_GB2312"/>
          <w:kern w:val="0"/>
          <w:szCs w:val="32"/>
          <w:shd w:val="clear" w:color="auto" w:fill="FFFFFF"/>
        </w:rPr>
        <w:t>小类的全域公园体系。应对多元化的游憩需求，逐步在全县范围内形成郊野公园、综合公园、专类公园、社区公园、口袋公园的多层级公园体系。中心城区建设老干公园、大集公园、隽水河滨水公园等城市公园；营造小尺度公共空间，强化城市街坊尺度、规模的控制和空间秩序，塑造和谐有序的城市空间形象。</w:t>
      </w:r>
    </w:p>
    <w:p w14:paraId="75FFB472">
      <w:pPr>
        <w:widowControl/>
        <w:autoSpaceDE w:val="0"/>
        <w:autoSpaceDN w:val="0"/>
        <w:spacing w:line="560" w:lineRule="atLeast"/>
        <w:ind w:firstLine="0" w:firstLineChars="0"/>
        <w:rPr>
          <w:rFonts w:ascii="黑体" w:hAnsi="黑体" w:eastAsia="黑体" w:cs="方正小标宋_GBK"/>
          <w:sz w:val="36"/>
          <w:szCs w:val="36"/>
        </w:rPr>
      </w:pPr>
    </w:p>
    <w:p w14:paraId="6A7D3D06">
      <w:pPr>
        <w:rPr>
          <w:rFonts w:hint="eastAsia" w:ascii="黑体" w:hAnsi="黑体" w:eastAsia="黑体" w:cs="方正小标宋_GBK"/>
          <w:bCs w:val="0"/>
          <w:szCs w:val="36"/>
        </w:rPr>
      </w:pPr>
      <w:bookmarkStart w:id="839" w:name="_Toc16519"/>
      <w:r>
        <w:rPr>
          <w:rFonts w:hint="eastAsia" w:ascii="黑体" w:hAnsi="黑体" w:eastAsia="黑体" w:cs="方正小标宋_GBK"/>
          <w:bCs w:val="0"/>
          <w:szCs w:val="36"/>
        </w:rPr>
        <w:br w:type="page"/>
      </w:r>
    </w:p>
    <w:p w14:paraId="3898923B">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r>
        <w:rPr>
          <w:rFonts w:hint="eastAsia" w:ascii="黑体" w:hAnsi="黑体" w:eastAsia="黑体" w:cs="方正小标宋_GBK"/>
          <w:bCs w:val="0"/>
          <w:szCs w:val="36"/>
        </w:rPr>
        <w:t>第九章 增强空间支撑体系保障能力</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39"/>
    </w:p>
    <w:p w14:paraId="3679ECBB">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840" w:name="_Toc138867004"/>
      <w:bookmarkStart w:id="841" w:name="_Toc20745"/>
      <w:bookmarkStart w:id="842" w:name="_Toc16054"/>
      <w:bookmarkStart w:id="843" w:name="_Toc8488"/>
      <w:bookmarkStart w:id="844" w:name="_Toc138866817"/>
      <w:bookmarkStart w:id="845" w:name="_Toc4277"/>
      <w:bookmarkStart w:id="846" w:name="_Toc24281"/>
      <w:bookmarkStart w:id="847" w:name="_Toc31868"/>
      <w:bookmarkStart w:id="848" w:name="_Toc21191"/>
      <w:bookmarkStart w:id="849" w:name="_Toc9966"/>
      <w:bookmarkStart w:id="850" w:name="_Toc30523"/>
      <w:bookmarkStart w:id="851" w:name="_Toc27619"/>
      <w:bookmarkStart w:id="852" w:name="_Toc19605"/>
      <w:bookmarkStart w:id="853" w:name="_Toc19513"/>
      <w:bookmarkStart w:id="854" w:name="_Toc25481"/>
      <w:bookmarkStart w:id="855" w:name="_Toc17676"/>
      <w:bookmarkStart w:id="856" w:name="_Toc17474"/>
      <w:bookmarkStart w:id="857" w:name="_Toc9675"/>
      <w:bookmarkStart w:id="858" w:name="_Toc24388"/>
      <w:bookmarkStart w:id="859" w:name="_Toc14675"/>
      <w:bookmarkStart w:id="860" w:name="_Toc19118"/>
      <w:bookmarkStart w:id="861" w:name="_Toc24013"/>
      <w:bookmarkStart w:id="862" w:name="_Toc3473"/>
      <w:bookmarkStart w:id="863" w:name="_Toc30006"/>
      <w:bookmarkStart w:id="864" w:name="_Toc27087"/>
      <w:r>
        <w:rPr>
          <w:rFonts w:hint="eastAsia" w:ascii="黑体" w:hAnsi="黑体" w:cs="黑体"/>
          <w:bCs w:val="0"/>
        </w:rPr>
        <w:t>第一节 构筑县域综合交通体系</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14:paraId="031A44FD">
      <w:pPr>
        <w:pStyle w:val="4"/>
        <w:ind w:firstLine="640"/>
      </w:pPr>
      <w:bookmarkStart w:id="865" w:name="_Toc8083"/>
      <w:bookmarkStart w:id="866" w:name="_Toc26102"/>
      <w:bookmarkStart w:id="867" w:name="_Toc21502"/>
      <w:bookmarkStart w:id="868" w:name="_Toc1726"/>
      <w:bookmarkStart w:id="869" w:name="_Toc138866818"/>
      <w:bookmarkStart w:id="870" w:name="_Toc138428926"/>
      <w:bookmarkStart w:id="871" w:name="_Toc8031"/>
      <w:bookmarkStart w:id="872" w:name="_Toc17682"/>
      <w:bookmarkStart w:id="873" w:name="_Toc8545"/>
      <w:bookmarkStart w:id="874" w:name="_Toc19089"/>
      <w:bookmarkStart w:id="875" w:name="_Toc7486"/>
      <w:bookmarkStart w:id="876" w:name="_Toc30048"/>
      <w:r>
        <w:rPr>
          <w:rFonts w:hint="eastAsia"/>
        </w:rPr>
        <w:t>综合交通建设目标</w:t>
      </w:r>
      <w:bookmarkEnd w:id="865"/>
      <w:bookmarkEnd w:id="866"/>
      <w:bookmarkEnd w:id="867"/>
      <w:bookmarkEnd w:id="868"/>
      <w:bookmarkEnd w:id="869"/>
      <w:bookmarkEnd w:id="870"/>
      <w:bookmarkEnd w:id="871"/>
      <w:bookmarkEnd w:id="872"/>
      <w:bookmarkEnd w:id="873"/>
      <w:bookmarkEnd w:id="874"/>
      <w:bookmarkEnd w:id="875"/>
      <w:bookmarkEnd w:id="876"/>
    </w:p>
    <w:p w14:paraId="26E1DB8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大力实施枢纽提能战略、整体提升支点的开发辐射力。落实咸宁市建设武汉都市圈自然生态公园城市的目标，以“轨道互联、绿色低碳、智慧高效、生态协同”为核心，通过轨道交通网络加密、绿道系统完善、智慧技术应用及生态修复工程，实现交通与生态的深度融合，助力区域高质量发展的交通目标。根据崇阳县“武汉都市圈自然生态公园城市样板区”的社会发展定位，以幕阜山区建设为特色，抢抓“科技创新、绿色交通”的机遇，构建形成以高速公路、高速铁路和航道为动脉，高等级国省干线为骨架，高密度农村公路为基础，重要客货运枢纽为节点，加快生态旅游公路建设；同时内抓提档升级，外抓沟通衔接，外联内畅、便捷高效的现代化综合交通运输网络，在县域内形成“一刻钟生活圈、半小时交通圈、一小时城市圈”的时空目标，实现“幕阜山区交通强县”的总体目标。崇阳县综合交通发展形成推进“三大转变”，突出“三个重点”，形成“一枢纽两片区”的综合交通发展格局。</w:t>
      </w:r>
    </w:p>
    <w:p w14:paraId="5DF77275">
      <w:pPr>
        <w:pStyle w:val="4"/>
        <w:ind w:firstLine="640"/>
      </w:pPr>
      <w:bookmarkStart w:id="877" w:name="_Toc31403"/>
      <w:bookmarkStart w:id="878" w:name="_Toc26081"/>
      <w:bookmarkStart w:id="879" w:name="_Toc5284"/>
      <w:bookmarkStart w:id="880" w:name="_Toc28596"/>
      <w:bookmarkStart w:id="881" w:name="_Toc1814"/>
      <w:bookmarkStart w:id="882" w:name="_Toc1940"/>
      <w:bookmarkStart w:id="883" w:name="_Toc32383"/>
      <w:bookmarkStart w:id="884" w:name="_Toc138428927"/>
      <w:bookmarkStart w:id="885" w:name="_Toc138866819"/>
      <w:r>
        <w:rPr>
          <w:rFonts w:hint="eastAsia"/>
        </w:rPr>
        <w:t>对外交通体系</w:t>
      </w:r>
      <w:bookmarkEnd w:id="877"/>
      <w:bookmarkEnd w:id="878"/>
      <w:bookmarkEnd w:id="879"/>
      <w:bookmarkEnd w:id="880"/>
      <w:bookmarkEnd w:id="881"/>
      <w:bookmarkEnd w:id="882"/>
      <w:bookmarkEnd w:id="883"/>
      <w:bookmarkEnd w:id="884"/>
      <w:bookmarkEnd w:id="885"/>
    </w:p>
    <w:p w14:paraId="4C66C78E">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构建综合立体交通走廊</w:t>
      </w:r>
      <w:r>
        <w:rPr>
          <w:rFonts w:ascii="仿宋" w:hAnsi="仿宋" w:eastAsia="仿宋" w:cs="仿宋_GB2312"/>
          <w:kern w:val="0"/>
          <w:szCs w:val="32"/>
          <w:u w:val="none"/>
          <w:shd w:val="clear" w:color="auto" w:fill="FFFFFF"/>
        </w:rPr>
        <w:t>。</w:t>
      </w:r>
      <w:r>
        <w:rPr>
          <w:rFonts w:hint="eastAsia" w:ascii="仿宋" w:hAnsi="仿宋" w:eastAsia="仿宋" w:cs="仿宋_GB2312"/>
          <w:kern w:val="0"/>
          <w:szCs w:val="32"/>
          <w:u w:val="none"/>
          <w:shd w:val="clear" w:color="auto" w:fill="FFFFFF"/>
        </w:rPr>
        <w:t>以干线公路、铁路和航道网络为主体，以实现与周边城市群的互联互通，加速崇阳境内经济社会发展为契机，在崇阳县打造对接周边中心城市，衔接区域城市群的“一纵一横”的综合运输大通道。一纵：赤壁－崇阳－通城公水综合运输通道；一横：临湘－崇阳－通山公铁综合运输通道。</w:t>
      </w:r>
    </w:p>
    <w:p w14:paraId="2CD273B1">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客运铁路网。规划布局咸岳城际铁路、</w:t>
      </w:r>
      <w:r>
        <w:rPr>
          <w:rFonts w:ascii="仿宋" w:hAnsi="仿宋" w:eastAsia="仿宋" w:cs="仿宋_GB2312"/>
          <w:kern w:val="0"/>
          <w:szCs w:val="32"/>
          <w:u w:val="none"/>
          <w:shd w:val="clear" w:color="auto" w:fill="FFFFFF"/>
          <w:lang w:bidi="ar"/>
        </w:rPr>
        <w:t>常岳九铁路。</w:t>
      </w:r>
      <w:r>
        <w:rPr>
          <w:rFonts w:ascii="仿宋" w:hAnsi="仿宋" w:eastAsia="仿宋" w:cs="仿宋_GB2312"/>
          <w:kern w:val="0"/>
          <w:szCs w:val="32"/>
          <w:u w:val="none"/>
          <w:shd w:val="clear" w:color="auto" w:fill="FFFFFF"/>
        </w:rPr>
        <w:t>咸岳城际铁路</w:t>
      </w:r>
      <w:r>
        <w:rPr>
          <w:rFonts w:hint="eastAsia" w:ascii="仿宋" w:hAnsi="仿宋" w:eastAsia="仿宋" w:cs="仿宋_GB2312"/>
          <w:kern w:val="0"/>
          <w:szCs w:val="32"/>
          <w:u w:val="none"/>
          <w:shd w:val="clear" w:color="auto" w:fill="FFFFFF"/>
        </w:rPr>
        <w:t>起于咸宁至平江铁路的崇阳站，向西延伸至临湘市</w:t>
      </w:r>
      <w:r>
        <w:rPr>
          <w:rFonts w:ascii="仿宋" w:hAnsi="仿宋" w:eastAsia="仿宋" w:cs="仿宋_GB2312"/>
          <w:kern w:val="0"/>
          <w:szCs w:val="32"/>
          <w:u w:val="none"/>
          <w:shd w:val="clear" w:color="auto" w:fill="FFFFFF"/>
        </w:rPr>
        <w:t>，连</w:t>
      </w:r>
      <w:r>
        <w:rPr>
          <w:rFonts w:hint="eastAsia" w:ascii="仿宋" w:hAnsi="仿宋" w:eastAsia="仿宋" w:cs="仿宋_GB2312"/>
          <w:kern w:val="0"/>
          <w:szCs w:val="32"/>
          <w:u w:val="none"/>
          <w:shd w:val="clear" w:color="auto" w:fill="FFFFFF"/>
        </w:rPr>
        <w:t>接至岳阳，是崇阳县境内重要的东西向通道。咸岳城际铁路向西衔接常岳昌高铁，向东衔接咸宁至平江铁路，是崇阳至岳阳、长沙等地的重要东西向通道。</w:t>
      </w:r>
      <w:r>
        <w:rPr>
          <w:rFonts w:ascii="仿宋" w:hAnsi="仿宋" w:eastAsia="仿宋" w:cs="仿宋_GB2312"/>
          <w:kern w:val="0"/>
          <w:szCs w:val="32"/>
          <w:u w:val="none"/>
          <w:shd w:val="clear" w:color="auto" w:fill="FFFFFF"/>
          <w:lang w:bidi="ar"/>
        </w:rPr>
        <w:t>常岳九铁路为崇阳县东西向联通三省的</w:t>
      </w:r>
      <w:r>
        <w:rPr>
          <w:rFonts w:hint="eastAsia" w:ascii="仿宋" w:hAnsi="仿宋" w:eastAsia="仿宋" w:cs="仿宋_GB2312"/>
          <w:kern w:val="0"/>
          <w:szCs w:val="32"/>
          <w:u w:val="none"/>
          <w:shd w:val="clear" w:color="auto" w:fill="FFFFFF"/>
        </w:rPr>
        <w:t>重要东西向通道</w:t>
      </w:r>
      <w:r>
        <w:rPr>
          <w:rFonts w:ascii="仿宋" w:hAnsi="仿宋" w:eastAsia="仿宋" w:cs="仿宋_GB2312"/>
          <w:kern w:val="0"/>
          <w:szCs w:val="32"/>
          <w:u w:val="none"/>
          <w:shd w:val="clear" w:color="auto" w:fill="FFFFFF"/>
        </w:rPr>
        <w:t>。</w:t>
      </w:r>
    </w:p>
    <w:p w14:paraId="7EB53C16">
      <w:pPr>
        <w:pStyle w:val="4"/>
        <w:ind w:firstLine="640"/>
      </w:pPr>
      <w:bookmarkStart w:id="886" w:name="_Toc6400"/>
      <w:bookmarkStart w:id="887" w:name="_Toc18302"/>
      <w:bookmarkStart w:id="888" w:name="_Toc5893"/>
      <w:bookmarkStart w:id="889" w:name="_Toc29066"/>
      <w:bookmarkStart w:id="890" w:name="_Toc16463"/>
      <w:bookmarkStart w:id="891" w:name="_Toc138866822"/>
      <w:bookmarkStart w:id="892" w:name="_Toc138428930"/>
      <w:bookmarkStart w:id="893" w:name="_Toc41"/>
      <w:bookmarkStart w:id="894" w:name="_Toc31088"/>
      <w:bookmarkStart w:id="895" w:name="_Toc13200"/>
      <w:bookmarkStart w:id="896" w:name="_Toc13766"/>
      <w:r>
        <w:rPr>
          <w:rFonts w:hint="eastAsia"/>
        </w:rPr>
        <w:t>公路网络体系</w:t>
      </w:r>
      <w:bookmarkEnd w:id="886"/>
      <w:bookmarkEnd w:id="887"/>
      <w:bookmarkEnd w:id="888"/>
      <w:bookmarkEnd w:id="889"/>
      <w:bookmarkEnd w:id="890"/>
      <w:bookmarkEnd w:id="891"/>
      <w:bookmarkEnd w:id="892"/>
      <w:bookmarkEnd w:id="893"/>
      <w:bookmarkEnd w:id="894"/>
      <w:bookmarkEnd w:id="895"/>
      <w:bookmarkEnd w:id="896"/>
    </w:p>
    <w:p w14:paraId="67670612">
      <w:pPr>
        <w:widowControl/>
        <w:spacing w:line="560" w:lineRule="exact"/>
        <w:ind w:firstLine="640"/>
        <w:jc w:val="both"/>
        <w:rPr>
          <w:rFonts w:ascii="仿宋" w:hAnsi="仿宋" w:eastAsia="仿宋" w:cs="仿宋_GB2312"/>
          <w:kern w:val="0"/>
          <w:szCs w:val="32"/>
          <w:shd w:val="clear" w:color="auto" w:fill="FFFFFF"/>
        </w:rPr>
      </w:pPr>
      <w:bookmarkStart w:id="897" w:name="OLE_LINK20"/>
      <w:bookmarkStart w:id="898" w:name="OLE_LINK21"/>
      <w:r>
        <w:rPr>
          <w:rFonts w:ascii="仿宋" w:hAnsi="仿宋" w:eastAsia="仿宋" w:cs="仿宋_GB2312"/>
          <w:kern w:val="0"/>
          <w:szCs w:val="32"/>
          <w:shd w:val="clear" w:color="auto" w:fill="FFFFFF"/>
        </w:rPr>
        <w:t>规划建设级配合理、有机衔接的现代化公路网络。崇阳县县域公路网由高速、国道、省道、县道、乡道和村道组成。</w:t>
      </w:r>
    </w:p>
    <w:p w14:paraId="201BF1B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干线公路：建设级配合理、有机衔接的现代化公路网络。崇阳县县域公路网由高速、国道、省道、县道、乡道和村道组成，规划构建形成“六环六纵六横九连”的“</w:t>
      </w:r>
      <w:r>
        <w:rPr>
          <w:rFonts w:ascii="Times New Roman" w:hAnsi="Times New Roman" w:eastAsia="仿宋"/>
          <w:kern w:val="0"/>
          <w:szCs w:val="32"/>
          <w:shd w:val="clear" w:color="auto" w:fill="FFFFFF"/>
        </w:rPr>
        <w:t>6669</w:t>
      </w:r>
      <w:r>
        <w:rPr>
          <w:rFonts w:ascii="仿宋" w:hAnsi="仿宋" w:eastAsia="仿宋" w:cs="仿宋_GB2312"/>
          <w:kern w:val="0"/>
          <w:szCs w:val="32"/>
          <w:shd w:val="clear" w:color="auto" w:fill="FFFFFF"/>
        </w:rPr>
        <w:t>”骨架公路网结构，干线公路全部由二级以上等级的公路组成。实现县域国道</w:t>
      </w:r>
      <w:r>
        <w:rPr>
          <w:rFonts w:ascii="Times New Roman" w:hAnsi="Times New Roman" w:eastAsia="仿宋"/>
          <w:kern w:val="0"/>
          <w:szCs w:val="32"/>
          <w:shd w:val="clear" w:color="auto" w:fill="FFFFFF"/>
        </w:rPr>
        <w:t>100</w:t>
      </w:r>
      <w:r>
        <w:rPr>
          <w:rFonts w:ascii="仿宋" w:hAnsi="仿宋" w:eastAsia="仿宋" w:cs="仿宋_GB2312"/>
          <w:kern w:val="0"/>
          <w:szCs w:val="32"/>
          <w:shd w:val="clear" w:color="auto" w:fill="FFFFFF"/>
        </w:rPr>
        <w:t>%达到一级公路标准，省道</w:t>
      </w:r>
      <w:r>
        <w:rPr>
          <w:rFonts w:ascii="Times New Roman" w:hAnsi="Times New Roman" w:eastAsia="仿宋"/>
          <w:kern w:val="0"/>
          <w:szCs w:val="32"/>
          <w:shd w:val="clear" w:color="auto" w:fill="FFFFFF"/>
        </w:rPr>
        <w:t>100</w:t>
      </w:r>
      <w:r>
        <w:rPr>
          <w:rFonts w:ascii="仿宋" w:hAnsi="仿宋" w:eastAsia="仿宋" w:cs="仿宋_GB2312"/>
          <w:kern w:val="0"/>
          <w:szCs w:val="32"/>
          <w:shd w:val="clear" w:color="auto" w:fill="FFFFFF"/>
        </w:rPr>
        <w:t>%达到二级公路标准，重要的县乡主干道</w:t>
      </w:r>
      <w:r>
        <w:rPr>
          <w:rFonts w:ascii="Times New Roman" w:hAnsi="Times New Roman" w:eastAsia="仿宋"/>
          <w:kern w:val="0"/>
          <w:szCs w:val="32"/>
          <w:shd w:val="clear" w:color="auto" w:fill="FFFFFF"/>
        </w:rPr>
        <w:t>100</w:t>
      </w:r>
      <w:r>
        <w:rPr>
          <w:rFonts w:ascii="仿宋" w:hAnsi="仿宋" w:eastAsia="仿宋" w:cs="仿宋_GB2312"/>
          <w:kern w:val="0"/>
          <w:szCs w:val="32"/>
          <w:shd w:val="clear" w:color="auto" w:fill="FFFFFF"/>
        </w:rPr>
        <w:t>%符合三级道路的公路标准。</w:t>
      </w:r>
    </w:p>
    <w:bookmarkEnd w:id="897"/>
    <w:bookmarkEnd w:id="898"/>
    <w:p w14:paraId="57B2FB7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农村公路。深入实施骨干路网提升工程、基础路网延伸完善工程、安全保障能力提升工程、产业融合发展工程、服务水平提升工程等五大工程，加快完善便捷高效、普惠公平的农村公路路网体系。基本形成干支相连、覆盖广泛、安全畅通的农村公路网络，重点进行提速升级，确保全县</w:t>
      </w:r>
      <w:r>
        <w:rPr>
          <w:rFonts w:ascii="Times New Roman" w:hAnsi="Times New Roman" w:eastAsia="仿宋"/>
          <w:kern w:val="0"/>
          <w:szCs w:val="32"/>
          <w:shd w:val="clear" w:color="auto" w:fill="FFFFFF"/>
        </w:rPr>
        <w:t>12</w:t>
      </w:r>
      <w:r>
        <w:rPr>
          <w:rFonts w:ascii="仿宋" w:hAnsi="仿宋" w:eastAsia="仿宋" w:cs="仿宋_GB2312"/>
          <w:kern w:val="0"/>
          <w:szCs w:val="32"/>
          <w:shd w:val="clear" w:color="auto" w:fill="FFFFFF"/>
        </w:rPr>
        <w:t>个乡镇全部通二级以上沥青路，村村通三级以上水泥（沥青）路，</w:t>
      </w:r>
      <w:r>
        <w:rPr>
          <w:rFonts w:ascii="Times New Roman" w:hAnsi="Times New Roman" w:eastAsia="仿宋"/>
          <w:kern w:val="0"/>
          <w:szCs w:val="32"/>
          <w:shd w:val="clear" w:color="auto" w:fill="FFFFFF"/>
        </w:rPr>
        <w:t>10</w:t>
      </w:r>
      <w:r>
        <w:rPr>
          <w:rFonts w:ascii="仿宋" w:hAnsi="仿宋" w:eastAsia="仿宋" w:cs="仿宋_GB2312"/>
          <w:kern w:val="0"/>
          <w:szCs w:val="32"/>
          <w:shd w:val="clear" w:color="auto" w:fill="FFFFFF"/>
        </w:rPr>
        <w:t>户以上自然村全部通水泥（沥青）路，全面建成“外通内联、快速通畅、绿色智慧、安全便捷”的现代化农村交通运输体系。</w:t>
      </w:r>
    </w:p>
    <w:p w14:paraId="258AD16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旅游公路。根据崇阳县旅游产业的整体格局，结合重点开发景区的分布情况，在县域旅游公路基础上，构建“一环多支线”的旅游公路网，以骨架公路网中的“</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6</w:t>
      </w:r>
      <w:r>
        <w:rPr>
          <w:rFonts w:ascii="仿宋" w:hAnsi="仿宋" w:eastAsia="仿宋" w:cs="仿宋_GB2312"/>
          <w:kern w:val="0"/>
          <w:szCs w:val="32"/>
          <w:shd w:val="clear" w:color="auto" w:fill="FFFFFF"/>
        </w:rPr>
        <w:t>”城市环线的天城至白霓段、幕阜山旅游环线中的白霓至高枧乡段、S</w:t>
      </w:r>
      <w:r>
        <w:rPr>
          <w:rFonts w:ascii="Times New Roman" w:hAnsi="Times New Roman" w:eastAsia="仿宋"/>
          <w:kern w:val="0"/>
          <w:szCs w:val="32"/>
          <w:shd w:val="clear" w:color="auto" w:fill="FFFFFF"/>
        </w:rPr>
        <w:t>359</w:t>
      </w:r>
      <w:r>
        <w:rPr>
          <w:rFonts w:ascii="仿宋" w:hAnsi="仿宋" w:eastAsia="仿宋" w:cs="仿宋_GB2312"/>
          <w:kern w:val="0"/>
          <w:szCs w:val="32"/>
          <w:shd w:val="clear" w:color="auto" w:fill="FFFFFF"/>
        </w:rPr>
        <w:t>石铁线崇阳段、S</w:t>
      </w:r>
      <w:r>
        <w:rPr>
          <w:rFonts w:ascii="Times New Roman" w:hAnsi="Times New Roman" w:eastAsia="仿宋"/>
          <w:kern w:val="0"/>
          <w:szCs w:val="32"/>
          <w:shd w:val="clear" w:color="auto" w:fill="FFFFFF"/>
        </w:rPr>
        <w:t>362</w:t>
      </w:r>
      <w:r>
        <w:rPr>
          <w:rFonts w:ascii="仿宋" w:hAnsi="仿宋" w:eastAsia="仿宋" w:cs="仿宋_GB2312"/>
          <w:kern w:val="0"/>
          <w:szCs w:val="32"/>
          <w:shd w:val="clear" w:color="auto" w:fill="FFFFFF"/>
        </w:rPr>
        <w:t>金保线崇阳段等部分国省干线和县乡干道所形成的闭合环线公路作为崇阳县的旅游主轴线。以已有骨架路网和重要县乡道能够通达境内部分重要景区，将所有重要景区接入高等级路网，实现所有景区互通互联，高效可达，规划布局多条由城镇、干线公路至重要旅游景点的旅游支线，形成核心景区畅通便捷、重要景点全面覆盖的县域旅游公路体系。</w:t>
      </w:r>
    </w:p>
    <w:p w14:paraId="59CC3F66">
      <w:pPr>
        <w:pStyle w:val="4"/>
        <w:ind w:firstLine="640"/>
      </w:pPr>
      <w:bookmarkStart w:id="899" w:name="_Toc23710"/>
      <w:bookmarkStart w:id="900" w:name="_Toc3632"/>
      <w:bookmarkStart w:id="901" w:name="_Toc5136"/>
      <w:bookmarkStart w:id="902" w:name="_Toc26867"/>
      <w:bookmarkStart w:id="903" w:name="_Toc5521"/>
      <w:bookmarkStart w:id="904" w:name="_Toc13030"/>
      <w:bookmarkStart w:id="905" w:name="_Toc138866825"/>
      <w:bookmarkStart w:id="906" w:name="_Toc24615"/>
      <w:bookmarkStart w:id="907" w:name="_Toc13770"/>
      <w:bookmarkStart w:id="908" w:name="_Toc16420"/>
      <w:bookmarkStart w:id="909" w:name="_Toc16244"/>
      <w:bookmarkStart w:id="910" w:name="_Toc138428931"/>
      <w:r>
        <w:rPr>
          <w:rFonts w:hint="eastAsia"/>
        </w:rPr>
        <w:t>综合客运枢纽体系</w:t>
      </w:r>
    </w:p>
    <w:p w14:paraId="744A781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客运枢纽。加块建设铁路客运场站建设，进一步优化完善“三站式”（乡镇客运站、城西客运站、公交总站）与城市公交、城乡公交、城际公交、县级以上客运班线零距离换乘布局，完成城乡统筹交通一体化。打造成以城西客运中心为客运枢纽中心，以崇阳公交总站为辅助，以</w:t>
      </w:r>
      <w:r>
        <w:fldChar w:fldCharType="begin"/>
      </w:r>
      <w:r>
        <w:instrText xml:space="preserve"> HYPERLINK "https://www.baidu.com/s?wd=%E7%9F%B3%E5%9F%8E%E9%95%87&amp;tn=SE_PcZhidaonwhc_ngpagmjz&amp;rsv_dl=gh_pc_zhidao" \t "_blank" </w:instrText>
      </w:r>
      <w:r>
        <w:fldChar w:fldCharType="separate"/>
      </w:r>
      <w:r>
        <w:rPr>
          <w:rFonts w:ascii="仿宋" w:hAnsi="仿宋" w:eastAsia="仿宋" w:cs="仿宋_GB2312"/>
          <w:kern w:val="0"/>
          <w:szCs w:val="32"/>
          <w:shd w:val="clear" w:color="auto" w:fill="FFFFFF"/>
        </w:rPr>
        <w:t>石城镇</w:t>
      </w:r>
      <w:r>
        <w:rPr>
          <w:rFonts w:ascii="仿宋" w:hAnsi="仿宋" w:eastAsia="仿宋" w:cs="仿宋_GB2312"/>
          <w:kern w:val="0"/>
          <w:szCs w:val="32"/>
          <w:shd w:val="clear" w:color="auto" w:fill="FFFFFF"/>
        </w:rPr>
        <w:fldChar w:fldCharType="end"/>
      </w:r>
      <w:r>
        <w:rPr>
          <w:rFonts w:ascii="仿宋" w:hAnsi="仿宋" w:eastAsia="仿宋" w:cs="仿宋_GB2312"/>
          <w:kern w:val="0"/>
          <w:szCs w:val="32"/>
          <w:shd w:val="clear" w:color="auto" w:fill="FFFFFF"/>
        </w:rPr>
        <w:t>、桂花泉镇、白霓镇、</w:t>
      </w:r>
      <w:r>
        <w:fldChar w:fldCharType="begin"/>
      </w:r>
      <w:r>
        <w:instrText xml:space="preserve"> HYPERLINK "https://www.baidu.com/s?wd=%E9%9D%92%E5%B1%B1%E9%95%87&amp;tn=SE_PcZhidaonwhc_ngpagmjz&amp;rsv_dl=gh_pc_zhidao" \t "_blank" </w:instrText>
      </w:r>
      <w:r>
        <w:fldChar w:fldCharType="separate"/>
      </w:r>
      <w:r>
        <w:rPr>
          <w:rFonts w:ascii="仿宋" w:hAnsi="仿宋" w:eastAsia="仿宋" w:cs="仿宋_GB2312"/>
          <w:kern w:val="0"/>
          <w:szCs w:val="32"/>
          <w:shd w:val="clear" w:color="auto" w:fill="FFFFFF"/>
        </w:rPr>
        <w:t>青山镇</w:t>
      </w:r>
      <w:r>
        <w:rPr>
          <w:rFonts w:ascii="仿宋" w:hAnsi="仿宋" w:eastAsia="仿宋" w:cs="仿宋_GB2312"/>
          <w:kern w:val="0"/>
          <w:szCs w:val="32"/>
          <w:shd w:val="clear" w:color="auto" w:fill="FFFFFF"/>
        </w:rPr>
        <w:fldChar w:fldCharType="end"/>
      </w:r>
      <w:r>
        <w:rPr>
          <w:rFonts w:ascii="仿宋" w:hAnsi="仿宋" w:eastAsia="仿宋" w:cs="仿宋_GB2312"/>
          <w:kern w:val="0"/>
          <w:szCs w:val="32"/>
          <w:shd w:val="clear" w:color="auto" w:fill="FFFFFF"/>
        </w:rPr>
        <w:t>、</w:t>
      </w:r>
      <w:r>
        <w:fldChar w:fldCharType="begin"/>
      </w:r>
      <w:r>
        <w:instrText xml:space="preserve"> HYPERLINK "https://www.baidu.com/s?wd=%E9%87%91%E5%A1%98%E9%95%87&amp;tn=SE_PcZhidaonwhc_ngpagmjz&amp;rsv_dl=gh_pc_zhidao" \t "_blank" </w:instrText>
      </w:r>
      <w:r>
        <w:fldChar w:fldCharType="separate"/>
      </w:r>
      <w:r>
        <w:rPr>
          <w:rFonts w:ascii="仿宋" w:hAnsi="仿宋" w:eastAsia="仿宋" w:cs="仿宋_GB2312"/>
          <w:kern w:val="0"/>
          <w:szCs w:val="32"/>
          <w:shd w:val="clear" w:color="auto" w:fill="FFFFFF"/>
        </w:rPr>
        <w:t>金塘镇</w:t>
      </w:r>
      <w:r>
        <w:rPr>
          <w:rFonts w:ascii="仿宋" w:hAnsi="仿宋" w:eastAsia="仿宋" w:cs="仿宋_GB2312"/>
          <w:kern w:val="0"/>
          <w:szCs w:val="32"/>
          <w:shd w:val="clear" w:color="auto" w:fill="FFFFFF"/>
        </w:rPr>
        <w:fldChar w:fldCharType="end"/>
      </w:r>
      <w:r>
        <w:rPr>
          <w:rFonts w:ascii="仿宋" w:hAnsi="仿宋" w:eastAsia="仿宋" w:cs="仿宋_GB2312"/>
          <w:kern w:val="0"/>
          <w:szCs w:val="32"/>
          <w:shd w:val="clear" w:color="auto" w:fill="FFFFFF"/>
        </w:rPr>
        <w:t>、路口镇等为节点的“一主一次多点”的客运场站布局，基本形成“主次结合、功能完善、布局合理、覆盖全面”的公路客运场站布局结构，实现客运场站</w:t>
      </w:r>
      <w:r>
        <w:rPr>
          <w:rFonts w:ascii="Times New Roman" w:hAnsi="Times New Roman" w:eastAsia="仿宋"/>
          <w:kern w:val="0"/>
          <w:szCs w:val="32"/>
          <w:shd w:val="clear" w:color="auto" w:fill="FFFFFF"/>
        </w:rPr>
        <w:t>100</w:t>
      </w:r>
      <w:r>
        <w:rPr>
          <w:rFonts w:ascii="仿宋" w:hAnsi="仿宋" w:eastAsia="仿宋" w:cs="仿宋_GB2312"/>
          <w:kern w:val="0"/>
          <w:szCs w:val="32"/>
          <w:shd w:val="clear" w:color="auto" w:fill="FFFFFF"/>
        </w:rPr>
        <w:t>%覆盖全部乡镇。完善铁路客运场站、水运码头等设施，形成崇阳县单一运输服务向综合运输一体化服务转变。</w:t>
      </w:r>
    </w:p>
    <w:bookmarkEnd w:id="899"/>
    <w:bookmarkEnd w:id="900"/>
    <w:bookmarkEnd w:id="901"/>
    <w:bookmarkEnd w:id="902"/>
    <w:bookmarkEnd w:id="903"/>
    <w:bookmarkEnd w:id="904"/>
    <w:bookmarkEnd w:id="905"/>
    <w:bookmarkEnd w:id="906"/>
    <w:bookmarkEnd w:id="907"/>
    <w:bookmarkEnd w:id="908"/>
    <w:bookmarkEnd w:id="909"/>
    <w:bookmarkEnd w:id="910"/>
    <w:p w14:paraId="1EF03D4F">
      <w:pPr>
        <w:pStyle w:val="4"/>
        <w:ind w:firstLine="640"/>
      </w:pPr>
      <w:r>
        <w:rPr>
          <w:rFonts w:hint="eastAsia"/>
        </w:rPr>
        <w:t>公交体系网络</w:t>
      </w:r>
    </w:p>
    <w:p w14:paraId="2F90931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充分利用城乡公交网络的便捷性和通达性，进一步完善城乡客运与旅游融合发展体系，拓展文旅融合特色公交线路，以公交串联整合县域“一村一景”特色小镇旅游资源和红色教育景区，打造“崇阳一日游”定制旅游线路；结合崇阳县特色旅游活动，开通旅游公交线路，建设旅游集散中心，设置换乘中心服务旅游专线，根据经营需要完成旅游驿站建设，做好环境整治与功能完善。重点规划</w:t>
      </w:r>
      <w:r>
        <w:rPr>
          <w:rFonts w:ascii="Times New Roman" w:hAnsi="Times New Roman" w:eastAsia="仿宋"/>
          <w:kern w:val="0"/>
          <w:szCs w:val="32"/>
          <w:shd w:val="clear" w:color="auto" w:fill="FFFFFF"/>
        </w:rPr>
        <w:t>7</w:t>
      </w:r>
      <w:r>
        <w:rPr>
          <w:rFonts w:ascii="仿宋" w:hAnsi="仿宋" w:eastAsia="仿宋" w:cs="仿宋_GB2312"/>
          <w:kern w:val="0"/>
          <w:szCs w:val="32"/>
          <w:shd w:val="clear" w:color="auto" w:fill="FFFFFF"/>
        </w:rPr>
        <w:t>条环线公交线路，将中心城区城西客运站内建设公交总站。</w:t>
      </w:r>
    </w:p>
    <w:p w14:paraId="5C02150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快“数字公交”建设，建设智能交通引导系统和智慧停车系统，实现高效、安全、可持续的便捷出行交通服务。加快“智慧交通”发展，加强新技术与交通的融合发展、“互联网+”传统运输业融合发展、加快智能终端应用。</w:t>
      </w:r>
    </w:p>
    <w:p w14:paraId="7757CC10">
      <w:pPr>
        <w:pStyle w:val="4"/>
        <w:ind w:firstLine="640"/>
      </w:pPr>
      <w:r>
        <w:rPr>
          <w:rFonts w:hint="eastAsia"/>
        </w:rPr>
        <w:t>多式联运交通体系</w:t>
      </w:r>
    </w:p>
    <w:p w14:paraId="6AF9E826">
      <w:pPr>
        <w:widowControl/>
        <w:spacing w:line="560" w:lineRule="exact"/>
        <w:ind w:firstLine="640"/>
        <w:jc w:val="both"/>
        <w:rPr>
          <w:rFonts w:ascii="仿宋" w:hAnsi="仿宋" w:eastAsia="仿宋" w:cs="仿宋_GB2312"/>
          <w:kern w:val="0"/>
          <w:szCs w:val="32"/>
          <w:shd w:val="clear" w:color="auto" w:fill="FFFFFF"/>
          <w:lang w:bidi="ar"/>
        </w:rPr>
      </w:pPr>
      <w:r>
        <w:rPr>
          <w:rFonts w:hint="eastAsia" w:ascii="仿宋" w:hAnsi="仿宋" w:eastAsia="仿宋" w:cs="仿宋_GB2312"/>
          <w:kern w:val="0"/>
          <w:szCs w:val="32"/>
          <w:shd w:val="clear" w:color="auto" w:fill="FFFFFF"/>
          <w:lang w:bidi="ar"/>
        </w:rPr>
        <w:t>崇阳基于未来生态文旅驱动、特色农业与农产品加工升级以及新兴产业培育的发展方向，制定多式联运方案。客运方面，在景区及交通节点建枢纽，开发 “高铁 + 旅游大巴 + 景区观光车” 产品，搭建旅游交通信息平台。货运上，为特色农业与加工产业在产业园区附近建综合货运枢纽，构建 “公路 + 铁路 + 水路” 联运线路，成立运营联盟；在中心城区西部建设现代化物流枢纽，采用 “公路 + 铁路” 联运模式，优化供应链。</w:t>
      </w:r>
    </w:p>
    <w:p w14:paraId="63BFB789">
      <w:pPr>
        <w:widowControl/>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rPr>
        <w:t>崇阳县的多式联运规划以物流枢纽为引擎，以公路为基础，强化水运航道建设，加快建设咸岳城际铁路、常岳九铁路、南三县货运铁路建设。</w:t>
      </w:r>
      <w:r>
        <w:rPr>
          <w:rFonts w:hint="eastAsia" w:ascii="仿宋" w:hAnsi="仿宋" w:eastAsia="仿宋" w:cs="仿宋_GB2312"/>
          <w:kern w:val="0"/>
          <w:szCs w:val="32"/>
          <w:shd w:val="clear" w:color="auto" w:fill="FFFFFF"/>
          <w:lang w:bidi="ar"/>
        </w:rPr>
        <w:t>形成“公铁水”多方式协同及区域联动，构建覆盖城乡、联通内外的物流网络。进一步提高通道的运输能力和效率。</w:t>
      </w:r>
    </w:p>
    <w:p w14:paraId="19C25F01">
      <w:pPr>
        <w:pStyle w:val="4"/>
        <w:ind w:firstLine="640"/>
      </w:pPr>
      <w:bookmarkStart w:id="911" w:name="_Toc16306"/>
      <w:bookmarkStart w:id="912" w:name="_Toc138428933"/>
      <w:bookmarkStart w:id="913" w:name="_Toc138866827"/>
      <w:r>
        <w:rPr>
          <w:rFonts w:hint="eastAsia"/>
        </w:rPr>
        <w:t>区域货运物流体系</w:t>
      </w:r>
    </w:p>
    <w:p w14:paraId="055CA0A3">
      <w:pPr>
        <w:widowControl/>
        <w:spacing w:line="560" w:lineRule="exact"/>
        <w:ind w:firstLine="640"/>
        <w:jc w:val="both"/>
        <w:rPr>
          <w:rFonts w:ascii="仿宋" w:hAnsi="仿宋" w:eastAsia="仿宋" w:cs="仿宋_GB2312"/>
          <w:kern w:val="0"/>
          <w:szCs w:val="32"/>
          <w:u w:val="none"/>
          <w:shd w:val="clear" w:color="auto" w:fill="FFFFFF"/>
          <w:lang w:bidi="ar"/>
        </w:rPr>
      </w:pPr>
      <w:r>
        <w:rPr>
          <w:rFonts w:ascii="仿宋" w:hAnsi="仿宋" w:eastAsia="仿宋" w:cs="仿宋_GB2312"/>
          <w:kern w:val="0"/>
          <w:szCs w:val="32"/>
          <w:u w:val="none"/>
          <w:shd w:val="clear" w:color="auto" w:fill="FFFFFF"/>
          <w:lang w:bidi="ar"/>
        </w:rPr>
        <w:t>货运铁路。</w:t>
      </w:r>
      <w:r>
        <w:rPr>
          <w:rFonts w:hint="eastAsia" w:ascii="仿宋" w:hAnsi="仿宋" w:eastAsia="仿宋" w:cs="仿宋_GB2312"/>
          <w:kern w:val="0"/>
          <w:szCs w:val="32"/>
          <w:u w:val="none"/>
          <w:shd w:val="clear" w:color="auto" w:fill="FFFFFF"/>
          <w:lang w:bidi="ar"/>
        </w:rPr>
        <w:t>规划新增</w:t>
      </w:r>
      <w:r>
        <w:rPr>
          <w:rFonts w:ascii="仿宋" w:hAnsi="仿宋" w:eastAsia="仿宋" w:cs="仿宋_GB2312"/>
          <w:kern w:val="0"/>
          <w:szCs w:val="32"/>
          <w:u w:val="none"/>
          <w:shd w:val="clear" w:color="auto" w:fill="FFFFFF"/>
        </w:rPr>
        <w:t>南三县货运铁路</w:t>
      </w:r>
      <w:r>
        <w:rPr>
          <w:rFonts w:ascii="仿宋" w:hAnsi="仿宋" w:eastAsia="仿宋" w:cs="仿宋_GB2312"/>
          <w:kern w:val="0"/>
          <w:szCs w:val="32"/>
          <w:u w:val="none"/>
          <w:shd w:val="clear" w:color="auto" w:fill="FFFFFF"/>
          <w:lang w:bidi="ar"/>
        </w:rPr>
        <w:t>由</w:t>
      </w:r>
      <w:r>
        <w:rPr>
          <w:rFonts w:hint="eastAsia" w:ascii="仿宋" w:hAnsi="仿宋" w:eastAsia="仿宋" w:cs="仿宋_GB2312"/>
          <w:kern w:val="0"/>
          <w:szCs w:val="32"/>
          <w:u w:val="none"/>
          <w:shd w:val="clear" w:color="auto" w:fill="FFFFFF"/>
          <w:lang w:bidi="ar"/>
        </w:rPr>
        <w:t>横沟至潘家湾货运铁路</w:t>
      </w:r>
      <w:r>
        <w:rPr>
          <w:rFonts w:ascii="仿宋" w:hAnsi="仿宋" w:eastAsia="仿宋" w:cs="仿宋_GB2312"/>
          <w:kern w:val="0"/>
          <w:szCs w:val="32"/>
          <w:u w:val="none"/>
          <w:shd w:val="clear" w:color="auto" w:fill="FFFFFF"/>
          <w:lang w:bidi="ar"/>
        </w:rPr>
        <w:t>，为</w:t>
      </w:r>
      <w:r>
        <w:rPr>
          <w:rFonts w:hint="eastAsia" w:ascii="仿宋" w:hAnsi="仿宋" w:eastAsia="仿宋" w:cs="仿宋_GB2312"/>
          <w:kern w:val="0"/>
          <w:szCs w:val="32"/>
          <w:u w:val="none"/>
          <w:shd w:val="clear" w:color="auto" w:fill="FFFFFF"/>
        </w:rPr>
        <w:t>崇阳</w:t>
      </w:r>
      <w:r>
        <w:rPr>
          <w:rFonts w:ascii="仿宋" w:hAnsi="仿宋" w:eastAsia="仿宋" w:cs="仿宋_GB2312"/>
          <w:kern w:val="0"/>
          <w:szCs w:val="32"/>
          <w:u w:val="none"/>
          <w:shd w:val="clear" w:color="auto" w:fill="FFFFFF"/>
        </w:rPr>
        <w:t>与周边县市</w:t>
      </w:r>
      <w:r>
        <w:rPr>
          <w:rFonts w:hint="eastAsia" w:ascii="仿宋" w:hAnsi="仿宋" w:eastAsia="仿宋" w:cs="仿宋_GB2312"/>
          <w:kern w:val="0"/>
          <w:szCs w:val="32"/>
          <w:u w:val="none"/>
          <w:shd w:val="clear" w:color="auto" w:fill="FFFFFF"/>
        </w:rPr>
        <w:t>的重要</w:t>
      </w:r>
      <w:r>
        <w:rPr>
          <w:rFonts w:ascii="仿宋" w:hAnsi="仿宋" w:eastAsia="仿宋" w:cs="仿宋_GB2312"/>
          <w:kern w:val="0"/>
          <w:szCs w:val="32"/>
          <w:u w:val="none"/>
          <w:shd w:val="clear" w:color="auto" w:fill="FFFFFF"/>
        </w:rPr>
        <w:t>东西</w:t>
      </w:r>
      <w:r>
        <w:rPr>
          <w:rFonts w:hint="eastAsia" w:ascii="仿宋" w:hAnsi="仿宋" w:eastAsia="仿宋" w:cs="仿宋_GB2312"/>
          <w:kern w:val="0"/>
          <w:szCs w:val="32"/>
          <w:u w:val="none"/>
          <w:shd w:val="clear" w:color="auto" w:fill="FFFFFF"/>
        </w:rPr>
        <w:t>向</w:t>
      </w:r>
      <w:r>
        <w:rPr>
          <w:rFonts w:ascii="仿宋" w:hAnsi="仿宋" w:eastAsia="仿宋" w:cs="仿宋_GB2312"/>
          <w:kern w:val="0"/>
          <w:szCs w:val="32"/>
          <w:u w:val="none"/>
          <w:shd w:val="clear" w:color="auto" w:fill="FFFFFF"/>
        </w:rPr>
        <w:t>货运</w:t>
      </w:r>
      <w:r>
        <w:rPr>
          <w:rFonts w:hint="eastAsia" w:ascii="仿宋" w:hAnsi="仿宋" w:eastAsia="仿宋" w:cs="仿宋_GB2312"/>
          <w:kern w:val="0"/>
          <w:szCs w:val="32"/>
          <w:u w:val="none"/>
          <w:shd w:val="clear" w:color="auto" w:fill="FFFFFF"/>
        </w:rPr>
        <w:t>通道</w:t>
      </w:r>
      <w:r>
        <w:rPr>
          <w:rFonts w:hint="eastAsia" w:ascii="仿宋" w:hAnsi="仿宋" w:eastAsia="仿宋" w:cs="仿宋_GB2312"/>
          <w:kern w:val="0"/>
          <w:szCs w:val="32"/>
          <w:u w:val="none"/>
          <w:shd w:val="clear" w:color="auto" w:fill="FFFFFF"/>
          <w:lang w:bidi="ar"/>
        </w:rPr>
        <w:t>。</w:t>
      </w:r>
    </w:p>
    <w:p w14:paraId="5270098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物流园建设。建设“物流园（物流分拨配送中心）—镇域物流综合服务站—村级物流综合服务点”的三级结构模式为核心的物流节点网络，规划九个物流分拨配送中心，每个乡镇设置物流综合服务站，每个行政村设置物流综合服务点，在县域内实现物流配送“五个统一”，即统一场所、统一平台、统一管理、统一车辆、统一配送；打造县乡村三级物流配送专线（偏远乡镇依托“村村通”公交车实现“客货邮”融合），定时、定班、定点发送物流共同配送“班车”，在运营过程中提高配送效率，降低物流配送成本，最终构建科学合理的配送体系。</w:t>
      </w:r>
    </w:p>
    <w:p w14:paraId="37497123">
      <w:pPr>
        <w:pStyle w:val="4"/>
        <w:ind w:firstLine="640"/>
      </w:pPr>
      <w:r>
        <w:rPr>
          <w:rFonts w:hint="eastAsia"/>
        </w:rPr>
        <w:t>水运交通规划</w:t>
      </w:r>
      <w:bookmarkEnd w:id="911"/>
      <w:bookmarkEnd w:id="912"/>
      <w:bookmarkEnd w:id="913"/>
    </w:p>
    <w:p w14:paraId="5E18768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崇阳县水路运输还比较落后，缺乏水陆联运的基础设施，但崇阳水利资源较丰富，具有一定的开发潜力。根据咸宁港区整体规划、各航道与岸线的资源条件，水运交通运输布局规划形成“一轴一点”的水运布局，其中“一轴”指的是隽水河航道；“一点”指的是青山水库。以提升陆水航道服务品质，加快开发青山水库周边旅游资源为重点，丰富崇阳县旅游产品的多样性，提升崇阳全域旅游示范县的核心价值。</w:t>
      </w:r>
    </w:p>
    <w:p w14:paraId="730593B5">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914" w:name="_Toc2805"/>
      <w:bookmarkStart w:id="915" w:name="_Toc6858"/>
      <w:bookmarkStart w:id="916" w:name="_Toc19266"/>
      <w:bookmarkStart w:id="917" w:name="_Toc30813"/>
      <w:bookmarkStart w:id="918" w:name="_Toc8708"/>
      <w:bookmarkStart w:id="919" w:name="_Toc138866829"/>
      <w:bookmarkStart w:id="920" w:name="_Toc31056"/>
      <w:bookmarkStart w:id="921" w:name="_Toc25171"/>
      <w:bookmarkStart w:id="922" w:name="_Toc22286"/>
      <w:bookmarkStart w:id="923" w:name="_Toc691"/>
      <w:bookmarkStart w:id="924" w:name="_Toc28102"/>
      <w:bookmarkStart w:id="925" w:name="_Toc18653"/>
      <w:bookmarkStart w:id="926" w:name="_Toc15958"/>
      <w:bookmarkStart w:id="927" w:name="_Toc7780"/>
      <w:bookmarkStart w:id="928" w:name="_Toc6332"/>
      <w:bookmarkStart w:id="929" w:name="_Toc138867005"/>
      <w:bookmarkStart w:id="930" w:name="_Toc27686"/>
      <w:bookmarkStart w:id="931" w:name="_Toc19700"/>
      <w:bookmarkStart w:id="932" w:name="_Toc11103"/>
      <w:bookmarkStart w:id="933" w:name="_Toc63873573"/>
      <w:bookmarkStart w:id="934" w:name="_Toc32032"/>
      <w:bookmarkStart w:id="935" w:name="_Toc16009"/>
      <w:bookmarkStart w:id="936" w:name="_Toc21824"/>
      <w:bookmarkStart w:id="937" w:name="_Toc28916"/>
      <w:bookmarkStart w:id="938" w:name="_Toc1484"/>
      <w:bookmarkStart w:id="939" w:name="_Toc13514"/>
      <w:r>
        <w:rPr>
          <w:rFonts w:hint="eastAsia" w:ascii="黑体" w:hAnsi="黑体" w:cs="黑体"/>
          <w:bCs w:val="0"/>
        </w:rPr>
        <w:t>第二节 中心城区综合交通规划</w:t>
      </w:r>
      <w:bookmarkEnd w:id="914"/>
    </w:p>
    <w:p w14:paraId="66FF4C85">
      <w:pPr>
        <w:pStyle w:val="4"/>
        <w:ind w:firstLine="640"/>
      </w:pPr>
      <w:r>
        <w:rPr>
          <w:rFonts w:hint="eastAsia"/>
        </w:rPr>
        <w:t>综合交通发展目标</w:t>
      </w:r>
    </w:p>
    <w:p w14:paraId="45E075F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以“大力发展绿色交通、优先发展公共交通、适度发展小汽车交通”为原则，构筑与城市建设用地布局相协调，公共交通为主导、多方式顺畅衔接、现代化、一体化的综合交通运输体系。</w:t>
      </w:r>
    </w:p>
    <w:p w14:paraId="47DBA610">
      <w:pPr>
        <w:pStyle w:val="4"/>
        <w:ind w:firstLine="640"/>
      </w:pPr>
      <w:r>
        <w:rPr>
          <w:rFonts w:hint="eastAsia"/>
        </w:rPr>
        <w:t>中心城区城市道路系统规划</w:t>
      </w:r>
    </w:p>
    <w:p w14:paraId="2FE8640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构建规划形成“</w:t>
      </w:r>
      <w:r>
        <w:rPr>
          <w:rFonts w:hint="eastAsia" w:ascii="仿宋" w:hAnsi="仿宋" w:eastAsia="仿宋" w:cs="仿宋_GB2312"/>
          <w:kern w:val="0"/>
          <w:szCs w:val="32"/>
          <w:shd w:val="clear" w:color="auto" w:fill="FFFFFF"/>
        </w:rPr>
        <w:t>六</w:t>
      </w:r>
      <w:r>
        <w:rPr>
          <w:rFonts w:ascii="仿宋" w:hAnsi="仿宋" w:eastAsia="仿宋" w:cs="仿宋_GB2312"/>
          <w:kern w:val="0"/>
          <w:szCs w:val="32"/>
          <w:shd w:val="clear" w:color="auto" w:fill="FFFFFF"/>
        </w:rPr>
        <w:t>纵四横”主干路网结构，承担中心城区各用地功能片区之间快速交通联系，并通过高速公路、重要国省干线连接周边县市区和外部乡镇。其中“</w:t>
      </w:r>
      <w:r>
        <w:rPr>
          <w:rFonts w:hint="eastAsia" w:ascii="仿宋" w:hAnsi="仿宋" w:eastAsia="仿宋" w:cs="仿宋_GB2312"/>
          <w:kern w:val="0"/>
          <w:szCs w:val="32"/>
          <w:shd w:val="clear" w:color="auto" w:fill="FFFFFF"/>
        </w:rPr>
        <w:t>六</w:t>
      </w:r>
      <w:r>
        <w:rPr>
          <w:rFonts w:ascii="仿宋" w:hAnsi="仿宋" w:eastAsia="仿宋" w:cs="仿宋_GB2312"/>
          <w:kern w:val="0"/>
          <w:szCs w:val="32"/>
          <w:shd w:val="clear" w:color="auto" w:fill="FFFFFF"/>
        </w:rPr>
        <w:t>纵”：经四路、香山大道、文昌大道、崇青大道、中津路、天城大道；“四横”：人民大道、电力大道、金城大道、丰日大道。</w:t>
      </w:r>
    </w:p>
    <w:p w14:paraId="45D73D7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根据《城市道路交通规划设计规范》以及中心城区现状道路条件和城市用地规划布局，本次规划城市道路为：主干路、次干路和支路</w:t>
      </w:r>
      <w:r>
        <w:rPr>
          <w:rFonts w:ascii="Times New Roman" w:hAnsi="Times New Roman" w:eastAsia="仿宋"/>
          <w:kern w:val="0"/>
          <w:szCs w:val="32"/>
          <w:shd w:val="clear" w:color="auto" w:fill="FFFFFF"/>
        </w:rPr>
        <w:t>3</w:t>
      </w:r>
      <w:r>
        <w:rPr>
          <w:rFonts w:ascii="仿宋" w:hAnsi="仿宋" w:eastAsia="仿宋" w:cs="仿宋_GB2312"/>
          <w:kern w:val="0"/>
          <w:szCs w:val="32"/>
          <w:shd w:val="clear" w:color="auto" w:fill="FFFFFF"/>
        </w:rPr>
        <w:t>个等级。</w:t>
      </w:r>
    </w:p>
    <w:p w14:paraId="328BD75B">
      <w:pPr>
        <w:pStyle w:val="4"/>
        <w:ind w:firstLine="640"/>
      </w:pPr>
      <w:r>
        <w:rPr>
          <w:rFonts w:hint="eastAsia"/>
        </w:rPr>
        <w:t>中心城区交通设施规划</w:t>
      </w:r>
    </w:p>
    <w:p w14:paraId="66ECF66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客运站规划。汽车客运站：现状</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处为客运站，位于中心城区东部；规划新增城西客运中心</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处，位于中心城区北部人民大道北侧。</w:t>
      </w:r>
    </w:p>
    <w:p w14:paraId="5613B6F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停车场规划。规划形成“以配建为主，路外公共为辅，路内为补充”的停车供应方式，提高城市对外客运枢纽、公园景点以及新建大型公共建筑和住宅区的配建标准。重点加强旧城改造中公共停车泊位的建设，鼓励公共建筑的配建停车位面向公众开放。</w:t>
      </w:r>
    </w:p>
    <w:p w14:paraId="38F2CA8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公共充电设施规划。按照“快充为主、慢充为辅”的原则，完善公共充电设施，明确设施规模和场站布局，优先满足新能源公共汽车、出租车等公共服务需求，有效保障公共交通电动汽车充电需求，更好地服务个人应急补电需求。</w:t>
      </w:r>
    </w:p>
    <w:p w14:paraId="2DD521B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社会公共充电站布局应当因地制宜、分散布置、方便使用，充分结合公共停车场、交通枢纽、出租车服务中心和其他公共建筑配置。对公共建筑、民用建筑配建充电设施优先级进行划分、归纳；优先结合现有公共停车场设置公共充电站，其次结合大型商业综合体等单位的内部停车场设置，对停车场进行升级改造。</w:t>
      </w:r>
    </w:p>
    <w:p w14:paraId="3445E7F0">
      <w:pPr>
        <w:pStyle w:val="4"/>
        <w:ind w:firstLine="640"/>
      </w:pPr>
      <w:r>
        <w:rPr>
          <w:rFonts w:hint="eastAsia"/>
        </w:rPr>
        <w:t>中心城区慢行系统规划</w:t>
      </w:r>
    </w:p>
    <w:p w14:paraId="1E9D4DD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构建“滨水+都市休闲”的滨水慢行系统规划。结合隽水水系、滨水绿地和商业设施设置滨水步行道、休闲步行道和商业步行道，并设置娱乐休闲和休憩设施。</w:t>
      </w:r>
    </w:p>
    <w:p w14:paraId="6D433F2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都市休闲慢行系统规划。沿天城大道、文昌大道和人民大道等城市主要道路设置城市休闲慢行系统，贯通主要景观核心。</w:t>
      </w:r>
    </w:p>
    <w:p w14:paraId="53AD0978">
      <w:pPr>
        <w:pStyle w:val="4"/>
        <w:ind w:firstLine="640"/>
      </w:pPr>
      <w:r>
        <w:rPr>
          <w:rFonts w:hint="eastAsia"/>
        </w:rPr>
        <w:t>中心城区公共交通规划</w:t>
      </w:r>
    </w:p>
    <w:p w14:paraId="7EE3A2CF">
      <w:pPr>
        <w:widowControl/>
        <w:spacing w:line="560" w:lineRule="exact"/>
        <w:ind w:firstLine="640"/>
        <w:jc w:val="both"/>
        <w:rPr>
          <w:rFonts w:ascii="仿宋" w:hAnsi="仿宋" w:eastAsia="仿宋" w:cs="仿宋_GB2312"/>
          <w:kern w:val="0"/>
          <w:szCs w:val="32"/>
          <w:shd w:val="clear" w:color="auto" w:fill="FFFFFF"/>
        </w:rPr>
      </w:pPr>
      <w:bookmarkStart w:id="940" w:name="OLE_LINK23"/>
      <w:bookmarkStart w:id="941" w:name="OLE_LINK22"/>
      <w:r>
        <w:rPr>
          <w:rFonts w:ascii="仿宋" w:hAnsi="仿宋" w:eastAsia="仿宋" w:cs="仿宋_GB2312"/>
          <w:kern w:val="0"/>
          <w:szCs w:val="32"/>
          <w:shd w:val="clear" w:color="auto" w:fill="FFFFFF"/>
        </w:rPr>
        <w:t>建立路面公交为主体城乡客运和出租车为辅助的公共交通系统，形成以干线、支线不同层次的等级功能合理的地面公交线网结构。</w:t>
      </w:r>
    </w:p>
    <w:p w14:paraId="11AC7440">
      <w:pPr>
        <w:widowControl/>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rPr>
        <w:t>公交线网规划。规划中心城区的公共交通线路网密度应达到</w:t>
      </w:r>
      <w:r>
        <w:rPr>
          <w:rFonts w:ascii="Times New Roman" w:hAnsi="Times New Roman" w:eastAsia="仿宋"/>
          <w:kern w:val="0"/>
          <w:szCs w:val="32"/>
          <w:shd w:val="clear" w:color="auto" w:fill="FFFFFF"/>
        </w:rPr>
        <w:t>3</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公里/平方公里，公共汽车主要线路长度宜为</w:t>
      </w:r>
      <w:r>
        <w:rPr>
          <w:rFonts w:ascii="Times New Roman" w:hAnsi="Times New Roman" w:eastAsia="仿宋"/>
          <w:kern w:val="0"/>
          <w:szCs w:val="32"/>
          <w:shd w:val="clear" w:color="auto" w:fill="FFFFFF"/>
        </w:rPr>
        <w:t>2</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8</w:t>
      </w:r>
      <w:r>
        <w:rPr>
          <w:rFonts w:ascii="仿宋" w:hAnsi="仿宋" w:eastAsia="仿宋" w:cs="仿宋_GB2312"/>
          <w:kern w:val="0"/>
          <w:szCs w:val="32"/>
          <w:shd w:val="clear" w:color="auto" w:fill="FFFFFF"/>
        </w:rPr>
        <w:t>公里。到</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年，规划新增</w:t>
      </w:r>
      <w:r>
        <w:rPr>
          <w:rFonts w:ascii="Times New Roman" w:hAnsi="Times New Roman" w:eastAsia="仿宋"/>
          <w:kern w:val="0"/>
          <w:szCs w:val="32"/>
          <w:shd w:val="clear" w:color="auto" w:fill="FFFFFF"/>
        </w:rPr>
        <w:t>12</w:t>
      </w:r>
      <w:r>
        <w:rPr>
          <w:rFonts w:ascii="仿宋" w:hAnsi="仿宋" w:eastAsia="仿宋" w:cs="仿宋_GB2312"/>
          <w:kern w:val="0"/>
          <w:szCs w:val="32"/>
          <w:shd w:val="clear" w:color="auto" w:fill="FFFFFF"/>
        </w:rPr>
        <w:t>条公交干道。主要加强城西新区至城南经济开发区、与城北居住区以及经济开发区的联系。</w:t>
      </w:r>
    </w:p>
    <w:bookmarkEnd w:id="940"/>
    <w:bookmarkEnd w:id="941"/>
    <w:p w14:paraId="170AA1BD">
      <w:pPr>
        <w:widowControl/>
        <w:autoSpaceDE w:val="0"/>
        <w:autoSpaceDN w:val="0"/>
        <w:spacing w:before="624" w:beforeLines="200" w:line="240" w:lineRule="auto"/>
        <w:ind w:firstLine="0" w:firstLineChars="0"/>
        <w:rPr>
          <w:rFonts w:ascii="黑体" w:hAnsi="黑体" w:eastAsia="黑体" w:cs="方正小标宋_GBK"/>
          <w:bCs/>
          <w:sz w:val="36"/>
          <w:szCs w:val="36"/>
        </w:rPr>
      </w:pPr>
    </w:p>
    <w:p w14:paraId="1529FF3D">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bookmarkStart w:id="942" w:name="_Toc10629"/>
      <w:r>
        <w:rPr>
          <w:rFonts w:ascii="黑体" w:hAnsi="黑体" w:eastAsia="黑体" w:cs="方正小标宋_GBK"/>
          <w:bCs w:val="0"/>
          <w:szCs w:val="36"/>
        </w:rPr>
        <w:br w:type="page"/>
      </w:r>
      <w:r>
        <w:rPr>
          <w:rFonts w:hint="eastAsia" w:ascii="黑体" w:hAnsi="黑体" w:eastAsia="黑体" w:cs="方正小标宋_GBK"/>
          <w:bCs w:val="0"/>
          <w:szCs w:val="36"/>
        </w:rPr>
        <w:t>第十章 完善市政基础设施和综合</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Fonts w:hint="eastAsia" w:ascii="黑体" w:hAnsi="黑体" w:eastAsia="黑体" w:cs="方正小标宋_GBK"/>
          <w:bCs w:val="0"/>
          <w:szCs w:val="36"/>
        </w:rPr>
        <w:t>防灾体系</w:t>
      </w:r>
      <w:bookmarkEnd w:id="942"/>
    </w:p>
    <w:p w14:paraId="7C022FE6">
      <w:pPr>
        <w:pStyle w:val="3"/>
        <w:keepNext w:val="0"/>
        <w:widowControl/>
        <w:tabs>
          <w:tab w:val="left" w:leader="dot" w:pos="8295"/>
        </w:tabs>
        <w:autoSpaceDE w:val="0"/>
        <w:autoSpaceDN w:val="0"/>
        <w:spacing w:before="312" w:beforeLines="100" w:after="0" w:line="240" w:lineRule="auto"/>
        <w:rPr>
          <w:rFonts w:ascii="楷体_GB2312" w:hAnsi="楷体_GB2312" w:eastAsia="楷体_GB2312" w:cs="楷体_GB2312"/>
          <w:kern w:val="0"/>
          <w:shd w:val="clear" w:color="auto" w:fill="FFFFFF"/>
        </w:rPr>
      </w:pPr>
      <w:bookmarkStart w:id="943" w:name="_Toc31945"/>
      <w:r>
        <w:rPr>
          <w:rFonts w:hint="eastAsia" w:ascii="黑体" w:hAnsi="黑体" w:cs="黑体"/>
          <w:bCs w:val="0"/>
        </w:rPr>
        <w:t>第一节 构建县域市政公用设施体系</w:t>
      </w:r>
      <w:bookmarkEnd w:id="943"/>
    </w:p>
    <w:p w14:paraId="1C7A42B8">
      <w:pPr>
        <w:pStyle w:val="4"/>
        <w:ind w:firstLine="640"/>
      </w:pPr>
      <w:r>
        <w:rPr>
          <w:rFonts w:hint="eastAsia"/>
        </w:rPr>
        <w:t>县域供水体系规划</w:t>
      </w:r>
    </w:p>
    <w:p w14:paraId="2D1FDBB9">
      <w:pPr>
        <w:widowControl/>
        <w:spacing w:line="560" w:lineRule="exact"/>
        <w:ind w:firstLine="640"/>
        <w:jc w:val="both"/>
        <w:rPr>
          <w:rFonts w:ascii="仿宋" w:hAnsi="仿宋" w:eastAsia="仿宋" w:cs="仿宋_GB2312"/>
          <w:kern w:val="0"/>
          <w:szCs w:val="32"/>
          <w:u w:val="none"/>
          <w:shd w:val="clear" w:color="auto" w:fill="FFFFFF"/>
        </w:rPr>
      </w:pPr>
      <w:bookmarkStart w:id="944" w:name="_Toc63873574"/>
      <w:bookmarkStart w:id="945" w:name="_Toc2625"/>
      <w:r>
        <w:rPr>
          <w:rFonts w:ascii="仿宋" w:hAnsi="仿宋" w:eastAsia="仿宋" w:cs="仿宋_GB2312"/>
          <w:kern w:val="0"/>
          <w:szCs w:val="32"/>
          <w:u w:val="none"/>
          <w:shd w:val="clear" w:color="auto" w:fill="FFFFFF"/>
        </w:rPr>
        <w:t>严守水源保护底线，形成以青山水库水源地、台山水库水源地、杨林桥水库水源地、关山水源地、木三李水库水源地等</w:t>
      </w:r>
      <w:r>
        <w:rPr>
          <w:rFonts w:ascii="Times New Roman" w:hAnsi="Times New Roman" w:eastAsia="仿宋"/>
          <w:kern w:val="0"/>
          <w:szCs w:val="32"/>
          <w:u w:val="none"/>
          <w:shd w:val="clear" w:color="auto" w:fill="FFFFFF"/>
        </w:rPr>
        <w:t>11</w:t>
      </w:r>
      <w:r>
        <w:rPr>
          <w:rFonts w:ascii="仿宋" w:hAnsi="仿宋" w:eastAsia="仿宋" w:cs="仿宋_GB2312"/>
          <w:kern w:val="0"/>
          <w:szCs w:val="32"/>
          <w:u w:val="none"/>
          <w:shd w:val="clear" w:color="auto" w:fill="FFFFFF"/>
        </w:rPr>
        <w:t>个乡镇及以上饮用水水源地为水源，木三李水库水源地为备用水源。</w:t>
      </w:r>
    </w:p>
    <w:p w14:paraId="5B2F8FDD">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加强木三李水库备用水源保护，开展水源地环境状况平度和水源地环境风险排查整治，加强水源地风险及应急能力建设，确保水源地水质达标，禁止在水源地保护区内设置排污口。</w:t>
      </w:r>
    </w:p>
    <w:p w14:paraId="51AA5E3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综合考虑崇阳县人口及相关产业用水水平、城市发展建设和水资源状况，优化水资源配置，实施用水总量控制。满足崇阳中心城区用水需求，保障城镇供水用水安全，保证水厂、管网建设及运行经济合理。距离较近的乡镇统一饮水，通过集中建设水厂以减少水厂的数量，提高供水工程效益。</w:t>
      </w:r>
    </w:p>
    <w:p w14:paraId="6967B592">
      <w:pPr>
        <w:pStyle w:val="4"/>
        <w:ind w:firstLine="640"/>
      </w:pPr>
      <w:bookmarkStart w:id="946" w:name="_Toc24997"/>
      <w:bookmarkStart w:id="947" w:name="_Toc25358"/>
      <w:bookmarkStart w:id="948" w:name="_Toc138866831"/>
      <w:bookmarkStart w:id="949" w:name="_Toc25761"/>
      <w:bookmarkStart w:id="950" w:name="_Toc138428937"/>
      <w:bookmarkStart w:id="951" w:name="_Toc22598"/>
      <w:bookmarkStart w:id="952" w:name="_Toc12065"/>
      <w:bookmarkStart w:id="953" w:name="_Toc2425"/>
      <w:bookmarkStart w:id="954" w:name="_Toc22389"/>
      <w:bookmarkStart w:id="955" w:name="_Toc23891"/>
      <w:bookmarkStart w:id="956" w:name="_Toc14982"/>
      <w:r>
        <w:rPr>
          <w:rFonts w:hint="eastAsia"/>
        </w:rPr>
        <w:t>县域排水设施规划</w:t>
      </w:r>
      <w:bookmarkEnd w:id="946"/>
      <w:bookmarkEnd w:id="947"/>
      <w:bookmarkEnd w:id="948"/>
      <w:bookmarkEnd w:id="949"/>
      <w:bookmarkEnd w:id="950"/>
      <w:bookmarkEnd w:id="951"/>
      <w:bookmarkEnd w:id="952"/>
      <w:bookmarkEnd w:id="953"/>
      <w:bookmarkEnd w:id="954"/>
      <w:bookmarkEnd w:id="955"/>
      <w:bookmarkEnd w:id="956"/>
    </w:p>
    <w:p w14:paraId="601A58D0">
      <w:pPr>
        <w:widowControl/>
        <w:spacing w:line="560" w:lineRule="exact"/>
        <w:ind w:firstLine="640"/>
        <w:jc w:val="both"/>
        <w:rPr>
          <w:rFonts w:ascii="仿宋" w:hAnsi="仿宋" w:eastAsia="仿宋" w:cs="仿宋_GB2312"/>
          <w:kern w:val="0"/>
          <w:szCs w:val="32"/>
          <w:u w:val="single"/>
          <w:shd w:val="clear" w:color="auto" w:fill="FFFFFF"/>
        </w:rPr>
      </w:pPr>
      <w:r>
        <w:rPr>
          <w:rFonts w:ascii="仿宋" w:hAnsi="仿宋" w:eastAsia="仿宋" w:cs="仿宋_GB2312"/>
          <w:kern w:val="0"/>
          <w:szCs w:val="32"/>
          <w:shd w:val="clear" w:color="auto" w:fill="FFFFFF"/>
        </w:rPr>
        <w:t>排水体制。</w:t>
      </w:r>
      <w:r>
        <w:rPr>
          <w:rFonts w:hint="eastAsia" w:ascii="仿宋" w:hAnsi="仿宋" w:eastAsia="仿宋" w:cs="仿宋_GB2312"/>
          <w:kern w:val="0"/>
          <w:szCs w:val="32"/>
          <w:u w:val="none"/>
          <w:shd w:val="clear" w:color="auto" w:fill="FFFFFF"/>
          <w:lang w:val="zh-CN"/>
        </w:rPr>
        <w:t>规划中心城区</w:t>
      </w:r>
      <w:r>
        <w:rPr>
          <w:rFonts w:hint="eastAsia" w:ascii="仿宋" w:hAnsi="仿宋" w:eastAsia="仿宋" w:cs="仿宋_GB2312"/>
          <w:kern w:val="0"/>
          <w:szCs w:val="32"/>
          <w:u w:val="none"/>
          <w:shd w:val="clear" w:color="auto" w:fill="FFFFFF"/>
        </w:rPr>
        <w:t>新建区域、城市核心改造区完全实行雨、污分流制；其他已建成合流制、建筑密集且无改造计划的老城区实行截流式合流制。各乡镇现状建成区采用截流式合流制，新建区采用分流制。整治改建村庄排水体制可采用截流式合流制，新建村庄排水体制宜采用雨污分流制</w:t>
      </w:r>
      <w:r>
        <w:rPr>
          <w:rFonts w:hint="eastAsia" w:ascii="仿宋" w:hAnsi="仿宋" w:eastAsia="仿宋" w:cs="仿宋_GB2312"/>
          <w:kern w:val="0"/>
          <w:szCs w:val="32"/>
          <w:u w:val="single"/>
          <w:shd w:val="clear" w:color="auto" w:fill="FFFFFF"/>
        </w:rPr>
        <w:t>。</w:t>
      </w:r>
    </w:p>
    <w:p w14:paraId="48A6A0A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污水设施规划。加强城镇污水处理厂运行监管，污水处理厂尾水排放满足国家和地方标准，同时提高污泥处理水平。推进再生水设施建设力度，提升再生水品质，扩大再生水应用领域，规划再生水主要用于景观用水、工业用水、生态用水等。</w:t>
      </w:r>
      <w:r>
        <w:rPr>
          <w:rFonts w:hint="eastAsia" w:ascii="仿宋" w:hAnsi="仿宋" w:eastAsia="仿宋" w:cs="仿宋_GB2312"/>
          <w:kern w:val="0"/>
          <w:szCs w:val="32"/>
          <w:u w:val="none"/>
          <w:shd w:val="clear" w:color="auto" w:fill="FFFFFF"/>
        </w:rPr>
        <w:t>规划新建城北及城西污水处理厂，保留天城污水处理厂，其他乡镇扩建原污水处理厂。</w:t>
      </w:r>
      <w:r>
        <w:rPr>
          <w:rFonts w:hint="eastAsia" w:ascii="仿宋" w:hAnsi="仿宋" w:eastAsia="仿宋" w:cs="仿宋_GB2312"/>
          <w:kern w:val="0"/>
          <w:szCs w:val="32"/>
          <w:shd w:val="clear" w:color="auto" w:fill="FFFFFF"/>
        </w:rPr>
        <w:t>确保出水水质达到一级A排放标准，再生水利用率达到</w:t>
      </w:r>
      <w:r>
        <w:rPr>
          <w:rFonts w:ascii="Times New Roman" w:hAnsi="Times New Roman" w:eastAsia="仿宋"/>
          <w:kern w:val="0"/>
          <w:szCs w:val="32"/>
          <w:shd w:val="clear" w:color="auto" w:fill="FFFFFF"/>
        </w:rPr>
        <w:t>30</w:t>
      </w:r>
      <w:r>
        <w:rPr>
          <w:rFonts w:hint="eastAsia" w:ascii="仿宋" w:hAnsi="仿宋" w:eastAsia="仿宋" w:cs="仿宋_GB2312"/>
          <w:kern w:val="0"/>
          <w:szCs w:val="32"/>
          <w:shd w:val="clear" w:color="auto" w:fill="FFFFFF"/>
        </w:rPr>
        <w:t>%以上。</w:t>
      </w:r>
    </w:p>
    <w:p w14:paraId="3308AEBD">
      <w:pPr>
        <w:widowControl/>
        <w:spacing w:line="560" w:lineRule="exact"/>
        <w:ind w:firstLine="640"/>
        <w:jc w:val="both"/>
        <w:rPr>
          <w:rFonts w:ascii="仿宋" w:hAnsi="仿宋" w:eastAsia="仿宋" w:cs="仿宋_GB2312"/>
          <w:kern w:val="0"/>
          <w:szCs w:val="32"/>
          <w:u w:val="single"/>
          <w:shd w:val="clear" w:color="auto" w:fill="FFFFFF"/>
        </w:rPr>
      </w:pPr>
      <w:r>
        <w:rPr>
          <w:rFonts w:ascii="仿宋" w:hAnsi="仿宋" w:eastAsia="仿宋" w:cs="仿宋_GB2312"/>
          <w:kern w:val="0"/>
          <w:szCs w:val="32"/>
          <w:shd w:val="clear" w:color="auto" w:fill="FFFFFF"/>
        </w:rPr>
        <w:t>完善雨污分流的雨水工程系统。规划县域排水体制均为雨污分流制。充分利用地形，使雨水尽量以最短的距离重力流排入水体中。保留山洪排除通道和自然水面以应对超标雨水，并与城市景观相结合。加强城市排水河道、排涝渠、雨水调蓄区、雨水管网和泵站等工程建设，实现建成区雨水系统全覆盖。</w:t>
      </w:r>
      <w:r>
        <w:rPr>
          <w:rFonts w:hint="eastAsia" w:ascii="仿宋" w:hAnsi="仿宋" w:eastAsia="仿宋" w:cs="仿宋_GB2312"/>
          <w:kern w:val="0"/>
          <w:szCs w:val="32"/>
          <w:u w:val="none"/>
          <w:shd w:val="clear" w:color="auto" w:fill="FFFFFF"/>
        </w:rPr>
        <w:t>雨水管渠设计重现期一般地区采用</w:t>
      </w:r>
      <w:r>
        <w:rPr>
          <w:rFonts w:ascii="Times New Roman" w:hAnsi="Times New Roman" w:eastAsia="仿宋"/>
          <w:kern w:val="0"/>
          <w:szCs w:val="32"/>
          <w:u w:val="none"/>
          <w:shd w:val="clear" w:color="auto" w:fill="FFFFFF"/>
        </w:rPr>
        <w:t>2</w:t>
      </w:r>
      <w:r>
        <w:rPr>
          <w:rFonts w:hint="eastAsia"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3</w:t>
      </w:r>
      <w:r>
        <w:rPr>
          <w:rFonts w:hint="eastAsia" w:ascii="仿宋" w:hAnsi="仿宋" w:eastAsia="仿宋" w:cs="仿宋_GB2312"/>
          <w:kern w:val="0"/>
          <w:szCs w:val="32"/>
          <w:u w:val="none"/>
          <w:shd w:val="clear" w:color="auto" w:fill="FFFFFF"/>
        </w:rPr>
        <w:t>年，重点地区采用</w:t>
      </w:r>
      <w:r>
        <w:rPr>
          <w:rFonts w:ascii="Times New Roman" w:hAnsi="Times New Roman" w:eastAsia="仿宋"/>
          <w:kern w:val="0"/>
          <w:szCs w:val="32"/>
          <w:u w:val="none"/>
          <w:shd w:val="clear" w:color="auto" w:fill="FFFFFF"/>
        </w:rPr>
        <w:t>3</w:t>
      </w:r>
      <w:r>
        <w:rPr>
          <w:rFonts w:hint="eastAsia"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5</w:t>
      </w:r>
      <w:r>
        <w:rPr>
          <w:rFonts w:hint="eastAsia" w:ascii="仿宋" w:hAnsi="仿宋" w:eastAsia="仿宋" w:cs="仿宋_GB2312"/>
          <w:kern w:val="0"/>
          <w:szCs w:val="32"/>
          <w:u w:val="none"/>
          <w:shd w:val="clear" w:color="auto" w:fill="FFFFFF"/>
        </w:rPr>
        <w:t>年。</w:t>
      </w:r>
    </w:p>
    <w:bookmarkEnd w:id="944"/>
    <w:bookmarkEnd w:id="945"/>
    <w:p w14:paraId="4C59B2D5">
      <w:pPr>
        <w:pStyle w:val="4"/>
        <w:ind w:firstLine="640"/>
      </w:pPr>
      <w:bookmarkStart w:id="957" w:name="_Toc63873576"/>
      <w:r>
        <w:rPr>
          <w:rFonts w:hint="eastAsia"/>
        </w:rPr>
        <w:t>县域电力设施规划</w:t>
      </w:r>
    </w:p>
    <w:p w14:paraId="69544DA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以城市发展需求和现有电网为基础，科学预测地区用电负荷发展水平，结合电网结构调整要求，进一步完善主网结构，提高电网受电、供电能力和供电可靠性；合理规划布置变电站用地，控制高压走廊布局及用地，促进电网发展与城市建设相协调。</w:t>
      </w:r>
    </w:p>
    <w:p w14:paraId="0DAA31AA">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打造安全高效的绿色智能电网，规划以</w:t>
      </w:r>
      <w:r>
        <w:rPr>
          <w:rFonts w:ascii="Times New Roman" w:hAnsi="Times New Roman" w:eastAsia="仿宋"/>
          <w:kern w:val="0"/>
          <w:szCs w:val="32"/>
          <w:u w:val="none"/>
          <w:shd w:val="clear" w:color="auto" w:fill="FFFFFF"/>
        </w:rPr>
        <w:t>220</w:t>
      </w:r>
      <w:r>
        <w:rPr>
          <w:rFonts w:hint="eastAsia" w:ascii="仿宋" w:hAnsi="仿宋" w:eastAsia="仿宋" w:cs="仿宋_GB2312"/>
          <w:kern w:val="0"/>
          <w:szCs w:val="32"/>
          <w:u w:val="none"/>
          <w:shd w:val="clear" w:color="auto" w:fill="FFFFFF"/>
        </w:rPr>
        <w:t>kv鹿门变、铜钟变电源为枢纽，</w:t>
      </w:r>
      <w:r>
        <w:rPr>
          <w:rFonts w:ascii="Times New Roman" w:hAnsi="Times New Roman" w:eastAsia="仿宋"/>
          <w:kern w:val="0"/>
          <w:szCs w:val="32"/>
          <w:u w:val="none"/>
          <w:shd w:val="clear" w:color="auto" w:fill="FFFFFF"/>
        </w:rPr>
        <w:t>110</w:t>
      </w:r>
      <w:r>
        <w:rPr>
          <w:rFonts w:hint="eastAsia" w:ascii="仿宋" w:hAnsi="仿宋" w:eastAsia="仿宋" w:cs="仿宋_GB2312"/>
          <w:kern w:val="0"/>
          <w:szCs w:val="32"/>
          <w:u w:val="none"/>
          <w:shd w:val="clear" w:color="auto" w:fill="FFFFFF"/>
        </w:rPr>
        <w:t>kv变电站为骨干，</w:t>
      </w:r>
      <w:r>
        <w:rPr>
          <w:rFonts w:ascii="Times New Roman" w:hAnsi="Times New Roman" w:eastAsia="仿宋"/>
          <w:kern w:val="0"/>
          <w:szCs w:val="32"/>
          <w:u w:val="none"/>
          <w:shd w:val="clear" w:color="auto" w:fill="FFFFFF"/>
        </w:rPr>
        <w:t>35</w:t>
      </w:r>
      <w:r>
        <w:rPr>
          <w:rFonts w:hint="eastAsia" w:ascii="仿宋" w:hAnsi="仿宋" w:eastAsia="仿宋" w:cs="仿宋_GB2312"/>
          <w:kern w:val="0"/>
          <w:szCs w:val="32"/>
          <w:u w:val="none"/>
          <w:shd w:val="clear" w:color="auto" w:fill="FFFFFF"/>
        </w:rPr>
        <w:t>kv向下辐射的供电体系。规划新增香山</w:t>
      </w:r>
      <w:r>
        <w:rPr>
          <w:rFonts w:ascii="Times New Roman" w:hAnsi="Times New Roman" w:eastAsia="仿宋"/>
          <w:kern w:val="0"/>
          <w:szCs w:val="32"/>
          <w:u w:val="none"/>
          <w:shd w:val="clear" w:color="auto" w:fill="FFFFFF"/>
        </w:rPr>
        <w:t>110</w:t>
      </w:r>
      <w:r>
        <w:rPr>
          <w:rFonts w:hint="eastAsia" w:ascii="仿宋" w:hAnsi="仿宋" w:eastAsia="仿宋" w:cs="仿宋_GB2312"/>
          <w:kern w:val="0"/>
          <w:szCs w:val="32"/>
          <w:u w:val="none"/>
          <w:shd w:val="clear" w:color="auto" w:fill="FFFFFF"/>
        </w:rPr>
        <w:t>kv变、浮桥</w:t>
      </w:r>
      <w:r>
        <w:rPr>
          <w:rFonts w:ascii="Times New Roman" w:hAnsi="Times New Roman" w:eastAsia="仿宋"/>
          <w:kern w:val="0"/>
          <w:szCs w:val="32"/>
          <w:u w:val="none"/>
          <w:shd w:val="clear" w:color="auto" w:fill="FFFFFF"/>
        </w:rPr>
        <w:t>110</w:t>
      </w:r>
      <w:r>
        <w:rPr>
          <w:rFonts w:hint="eastAsia" w:ascii="仿宋" w:hAnsi="仿宋" w:eastAsia="仿宋" w:cs="仿宋_GB2312"/>
          <w:kern w:val="0"/>
          <w:szCs w:val="32"/>
          <w:u w:val="none"/>
          <w:shd w:val="clear" w:color="auto" w:fill="FFFFFF"/>
        </w:rPr>
        <w:t>kv变、塘口</w:t>
      </w:r>
      <w:r>
        <w:rPr>
          <w:rFonts w:ascii="Times New Roman" w:hAnsi="Times New Roman" w:eastAsia="仿宋"/>
          <w:kern w:val="0"/>
          <w:szCs w:val="32"/>
          <w:u w:val="none"/>
          <w:shd w:val="clear" w:color="auto" w:fill="FFFFFF"/>
        </w:rPr>
        <w:t>110</w:t>
      </w:r>
      <w:r>
        <w:rPr>
          <w:rFonts w:hint="eastAsia" w:ascii="仿宋" w:hAnsi="仿宋" w:eastAsia="仿宋" w:cs="仿宋_GB2312"/>
          <w:kern w:val="0"/>
          <w:szCs w:val="32"/>
          <w:u w:val="none"/>
          <w:shd w:val="clear" w:color="auto" w:fill="FFFFFF"/>
        </w:rPr>
        <w:t>kv变、青山</w:t>
      </w:r>
      <w:r>
        <w:rPr>
          <w:rFonts w:ascii="Times New Roman" w:hAnsi="Times New Roman" w:eastAsia="仿宋"/>
          <w:kern w:val="0"/>
          <w:szCs w:val="32"/>
          <w:u w:val="none"/>
          <w:shd w:val="clear" w:color="auto" w:fill="FFFFFF"/>
        </w:rPr>
        <w:t>110</w:t>
      </w:r>
      <w:r>
        <w:rPr>
          <w:rFonts w:hint="eastAsia" w:ascii="仿宋" w:hAnsi="仿宋" w:eastAsia="仿宋" w:cs="仿宋_GB2312"/>
          <w:kern w:val="0"/>
          <w:szCs w:val="32"/>
          <w:u w:val="none"/>
          <w:shd w:val="clear" w:color="auto" w:fill="FFFFFF"/>
        </w:rPr>
        <w:t>kv变、乌龟石</w:t>
      </w:r>
      <w:r>
        <w:rPr>
          <w:rFonts w:ascii="Times New Roman" w:hAnsi="Times New Roman" w:eastAsia="仿宋"/>
          <w:kern w:val="0"/>
          <w:szCs w:val="32"/>
          <w:u w:val="none"/>
          <w:shd w:val="clear" w:color="auto" w:fill="FFFFFF"/>
        </w:rPr>
        <w:t>110</w:t>
      </w:r>
      <w:r>
        <w:rPr>
          <w:rFonts w:hint="eastAsia" w:ascii="仿宋" w:hAnsi="仿宋" w:eastAsia="仿宋" w:cs="仿宋_GB2312"/>
          <w:kern w:val="0"/>
          <w:szCs w:val="32"/>
          <w:u w:val="none"/>
          <w:shd w:val="clear" w:color="auto" w:fill="FFFFFF"/>
        </w:rPr>
        <w:t>kv变、田心</w:t>
      </w:r>
      <w:r>
        <w:rPr>
          <w:rFonts w:ascii="Times New Roman" w:hAnsi="Times New Roman" w:eastAsia="仿宋"/>
          <w:kern w:val="0"/>
          <w:szCs w:val="32"/>
          <w:u w:val="none"/>
          <w:shd w:val="clear" w:color="auto" w:fill="FFFFFF"/>
        </w:rPr>
        <w:t>35</w:t>
      </w:r>
      <w:r>
        <w:rPr>
          <w:rFonts w:hint="eastAsia" w:ascii="仿宋" w:hAnsi="仿宋" w:eastAsia="仿宋" w:cs="仿宋_GB2312"/>
          <w:kern w:val="0"/>
          <w:szCs w:val="32"/>
          <w:u w:val="none"/>
          <w:shd w:val="clear" w:color="auto" w:fill="FFFFFF"/>
        </w:rPr>
        <w:t>kv变。</w:t>
      </w:r>
    </w:p>
    <w:p w14:paraId="37B5FABD">
      <w:pPr>
        <w:pStyle w:val="4"/>
        <w:ind w:firstLine="640"/>
      </w:pPr>
      <w:bookmarkStart w:id="958" w:name="_Toc21735"/>
      <w:bookmarkStart w:id="959" w:name="_Toc9108"/>
      <w:bookmarkStart w:id="960" w:name="_Toc19872"/>
      <w:bookmarkStart w:id="961" w:name="_Toc18389"/>
      <w:bookmarkStart w:id="962" w:name="_Toc23868"/>
      <w:bookmarkStart w:id="963" w:name="_Toc138866833"/>
      <w:bookmarkStart w:id="964" w:name="_Toc138428939"/>
      <w:bookmarkStart w:id="965" w:name="_Toc1786"/>
      <w:bookmarkStart w:id="966" w:name="_Toc12078"/>
      <w:bookmarkStart w:id="967" w:name="_Toc23294"/>
      <w:bookmarkStart w:id="968" w:name="_Toc19838"/>
      <w:bookmarkStart w:id="969" w:name="_Toc63873583"/>
      <w:bookmarkStart w:id="970" w:name="_Toc5144"/>
      <w:r>
        <w:rPr>
          <w:rFonts w:hint="eastAsia"/>
        </w:rPr>
        <w:t>县域燃气设施规划</w:t>
      </w:r>
      <w:bookmarkEnd w:id="958"/>
      <w:bookmarkEnd w:id="959"/>
      <w:bookmarkEnd w:id="960"/>
      <w:bookmarkEnd w:id="961"/>
      <w:bookmarkEnd w:id="962"/>
      <w:bookmarkEnd w:id="963"/>
      <w:bookmarkEnd w:id="964"/>
      <w:bookmarkEnd w:id="965"/>
      <w:bookmarkEnd w:id="966"/>
      <w:bookmarkEnd w:id="967"/>
      <w:bookmarkEnd w:id="968"/>
      <w:bookmarkEnd w:id="969"/>
      <w:bookmarkEnd w:id="970"/>
    </w:p>
    <w:p w14:paraId="056EBEE6">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供气方式</w:t>
      </w:r>
      <w:r>
        <w:rPr>
          <w:rFonts w:ascii="仿宋" w:hAnsi="仿宋" w:eastAsia="仿宋" w:cs="仿宋_GB2312"/>
          <w:kern w:val="0"/>
          <w:szCs w:val="32"/>
          <w:u w:val="none"/>
          <w:shd w:val="clear" w:color="auto" w:fill="FFFFFF"/>
        </w:rPr>
        <w:t>。</w:t>
      </w:r>
      <w:r>
        <w:rPr>
          <w:rFonts w:hint="eastAsia" w:ascii="仿宋" w:hAnsi="仿宋" w:eastAsia="仿宋" w:cs="仿宋_GB2312"/>
          <w:kern w:val="0"/>
          <w:szCs w:val="32"/>
          <w:u w:val="none"/>
          <w:shd w:val="clear" w:color="auto" w:fill="FFFFFF"/>
        </w:rPr>
        <w:t>规划远期崇阳中心城区形成以天然气为主、液化气为辅的燃料结构，其中天然气气化率</w:t>
      </w:r>
      <w:r>
        <w:rPr>
          <w:rFonts w:ascii="Times New Roman" w:hAnsi="Times New Roman" w:eastAsia="仿宋"/>
          <w:kern w:val="0"/>
          <w:szCs w:val="32"/>
          <w:u w:val="none"/>
          <w:shd w:val="clear" w:color="auto" w:fill="FFFFFF"/>
        </w:rPr>
        <w:t>90</w:t>
      </w:r>
      <w:r>
        <w:rPr>
          <w:rFonts w:hint="eastAsia" w:ascii="仿宋" w:hAnsi="仿宋" w:eastAsia="仿宋" w:cs="仿宋_GB2312"/>
          <w:kern w:val="0"/>
          <w:szCs w:val="32"/>
          <w:u w:val="none"/>
          <w:shd w:val="clear" w:color="auto" w:fill="FFFFFF"/>
        </w:rPr>
        <w:t>%，液化石油气</w:t>
      </w:r>
      <w:r>
        <w:rPr>
          <w:rFonts w:ascii="Times New Roman" w:hAnsi="Times New Roman" w:eastAsia="仿宋"/>
          <w:kern w:val="0"/>
          <w:szCs w:val="32"/>
          <w:u w:val="none"/>
          <w:shd w:val="clear" w:color="auto" w:fill="FFFFFF"/>
        </w:rPr>
        <w:t>10</w:t>
      </w:r>
      <w:r>
        <w:rPr>
          <w:rFonts w:hint="eastAsia" w:ascii="仿宋" w:hAnsi="仿宋" w:eastAsia="仿宋" w:cs="仿宋_GB2312"/>
          <w:kern w:val="0"/>
          <w:szCs w:val="32"/>
          <w:u w:val="none"/>
          <w:shd w:val="clear" w:color="auto" w:fill="FFFFFF"/>
        </w:rPr>
        <w:t>%。县域各乡镇镇区形成以天然气为主、液化气为辅的燃料结构，天然气气化率</w:t>
      </w:r>
      <w:r>
        <w:rPr>
          <w:rFonts w:ascii="Times New Roman" w:hAnsi="Times New Roman" w:eastAsia="仿宋"/>
          <w:kern w:val="0"/>
          <w:szCs w:val="32"/>
          <w:u w:val="none"/>
          <w:shd w:val="clear" w:color="auto" w:fill="FFFFFF"/>
        </w:rPr>
        <w:t>70</w:t>
      </w:r>
      <w:r>
        <w:rPr>
          <w:rFonts w:hint="eastAsia" w:ascii="仿宋" w:hAnsi="仿宋" w:eastAsia="仿宋" w:cs="仿宋_GB2312"/>
          <w:kern w:val="0"/>
          <w:szCs w:val="32"/>
          <w:u w:val="none"/>
          <w:shd w:val="clear" w:color="auto" w:fill="FFFFFF"/>
        </w:rPr>
        <w:t>%，液化石油气</w:t>
      </w:r>
      <w:r>
        <w:rPr>
          <w:rFonts w:ascii="Times New Roman" w:hAnsi="Times New Roman" w:eastAsia="仿宋"/>
          <w:kern w:val="0"/>
          <w:szCs w:val="32"/>
          <w:u w:val="none"/>
          <w:shd w:val="clear" w:color="auto" w:fill="FFFFFF"/>
        </w:rPr>
        <w:t>30</w:t>
      </w:r>
      <w:r>
        <w:rPr>
          <w:rFonts w:hint="eastAsia" w:ascii="仿宋" w:hAnsi="仿宋" w:eastAsia="仿宋" w:cs="仿宋_GB2312"/>
          <w:kern w:val="0"/>
          <w:szCs w:val="32"/>
          <w:u w:val="none"/>
          <w:shd w:val="clear" w:color="auto" w:fill="FFFFFF"/>
        </w:rPr>
        <w:t>%；农村地区以液化石油气为主，积极发展生物制气。</w:t>
      </w:r>
    </w:p>
    <w:p w14:paraId="2FB7969E">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燃气设施规划</w:t>
      </w:r>
      <w:r>
        <w:rPr>
          <w:rFonts w:ascii="仿宋" w:hAnsi="仿宋" w:eastAsia="仿宋" w:cs="仿宋_GB2312"/>
          <w:kern w:val="0"/>
          <w:szCs w:val="32"/>
          <w:u w:val="none"/>
          <w:shd w:val="clear" w:color="auto" w:fill="FFFFFF"/>
        </w:rPr>
        <w:t>。规划新增咸宁“南三县”天然气管道项目，作为“南三县”重要燃气管道，</w:t>
      </w:r>
      <w:r>
        <w:rPr>
          <w:rFonts w:hint="eastAsia" w:ascii="仿宋" w:hAnsi="仿宋" w:eastAsia="仿宋" w:cs="仿宋_GB2312"/>
          <w:kern w:val="0"/>
          <w:szCs w:val="32"/>
          <w:u w:val="none"/>
          <w:shd w:val="clear" w:color="auto" w:fill="FFFFFF"/>
        </w:rPr>
        <w:t>在中心城区东部规划</w:t>
      </w:r>
      <w:r>
        <w:rPr>
          <w:rFonts w:hint="eastAsia" w:ascii="Times New Roman" w:hAnsi="Times New Roman" w:eastAsia="仿宋"/>
          <w:kern w:val="0"/>
          <w:szCs w:val="32"/>
          <w:u w:val="none"/>
          <w:shd w:val="clear" w:color="auto" w:fill="FFFFFF"/>
        </w:rPr>
        <w:t>一</w:t>
      </w:r>
      <w:r>
        <w:rPr>
          <w:rFonts w:hint="eastAsia" w:ascii="仿宋" w:hAnsi="仿宋" w:eastAsia="仿宋" w:cs="仿宋_GB2312"/>
          <w:kern w:val="0"/>
          <w:szCs w:val="32"/>
          <w:u w:val="none"/>
          <w:shd w:val="clear" w:color="auto" w:fill="FFFFFF"/>
        </w:rPr>
        <w:t>处天然气门站，附设高中压调压站；在中心城区东部规划</w:t>
      </w:r>
      <w:r>
        <w:rPr>
          <w:rFonts w:ascii="Times New Roman" w:hAnsi="Times New Roman" w:eastAsia="仿宋"/>
          <w:kern w:val="0"/>
          <w:szCs w:val="32"/>
          <w:u w:val="none"/>
          <w:shd w:val="clear" w:color="auto" w:fill="FFFFFF"/>
        </w:rPr>
        <w:t>1</w:t>
      </w:r>
      <w:r>
        <w:rPr>
          <w:rFonts w:hint="eastAsia" w:ascii="仿宋" w:hAnsi="仿宋" w:eastAsia="仿宋" w:cs="仿宋_GB2312"/>
          <w:kern w:val="0"/>
          <w:szCs w:val="32"/>
          <w:u w:val="none"/>
          <w:shd w:val="clear" w:color="auto" w:fill="FFFFFF"/>
        </w:rPr>
        <w:t>处CNG（压缩天然气）加气母站，</w:t>
      </w:r>
      <w:r>
        <w:rPr>
          <w:rFonts w:ascii="Times New Roman" w:hAnsi="Times New Roman" w:eastAsia="仿宋"/>
          <w:kern w:val="0"/>
          <w:szCs w:val="32"/>
          <w:u w:val="none"/>
          <w:shd w:val="clear" w:color="auto" w:fill="FFFFFF"/>
        </w:rPr>
        <w:t>2</w:t>
      </w:r>
      <w:r>
        <w:rPr>
          <w:rFonts w:hint="eastAsia" w:ascii="仿宋" w:hAnsi="仿宋" w:eastAsia="仿宋" w:cs="仿宋_GB2312"/>
          <w:kern w:val="0"/>
          <w:szCs w:val="32"/>
          <w:u w:val="none"/>
          <w:shd w:val="clear" w:color="auto" w:fill="FFFFFF"/>
        </w:rPr>
        <w:t>处CNG（压缩天然气）子站，一处液化石油气储配站。另在白霓、石城、青山、沙坪各设高中压调压站一座，分别给各镇的中压管网供气。</w:t>
      </w:r>
    </w:p>
    <w:p w14:paraId="0D038DBF">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在县域原有</w:t>
      </w:r>
      <w:r>
        <w:rPr>
          <w:rFonts w:ascii="Times New Roman" w:hAnsi="Times New Roman" w:eastAsia="仿宋"/>
          <w:kern w:val="0"/>
          <w:szCs w:val="32"/>
          <w:shd w:val="clear" w:color="auto" w:fill="FFFFFF"/>
        </w:rPr>
        <w:t>19</w:t>
      </w:r>
      <w:r>
        <w:rPr>
          <w:rFonts w:ascii="仿宋" w:hAnsi="仿宋" w:eastAsia="仿宋" w:cs="仿宋_GB2312"/>
          <w:kern w:val="0"/>
          <w:szCs w:val="32"/>
          <w:shd w:val="clear" w:color="auto" w:fill="FFFFFF"/>
        </w:rPr>
        <w:t>家灌瓶站的基础上加以整合，改造后全县形成</w:t>
      </w:r>
      <w:r>
        <w:rPr>
          <w:rFonts w:ascii="Times New Roman" w:hAnsi="Times New Roman" w:eastAsia="仿宋"/>
          <w:kern w:val="0"/>
          <w:szCs w:val="32"/>
          <w:shd w:val="clear" w:color="auto" w:fill="FFFFFF"/>
        </w:rPr>
        <w:t>2</w:t>
      </w:r>
      <w:r>
        <w:rPr>
          <w:rFonts w:ascii="仿宋" w:hAnsi="仿宋" w:eastAsia="仿宋" w:cs="仿宋_GB2312"/>
          <w:kern w:val="0"/>
          <w:szCs w:val="32"/>
          <w:shd w:val="clear" w:color="auto" w:fill="FFFFFF"/>
        </w:rPr>
        <w:t>座标准化液化石油气储配站每座储气规模不宜小于</w:t>
      </w:r>
      <w:r>
        <w:rPr>
          <w:rFonts w:ascii="Times New Roman" w:hAnsi="Times New Roman" w:eastAsia="仿宋"/>
          <w:kern w:val="0"/>
          <w:szCs w:val="32"/>
          <w:shd w:val="clear" w:color="auto" w:fill="FFFFFF"/>
        </w:rPr>
        <w:t>600</w:t>
      </w:r>
      <w:r>
        <w:rPr>
          <w:rFonts w:ascii="仿宋" w:hAnsi="仿宋" w:eastAsia="仿宋" w:cs="仿宋_GB2312"/>
          <w:kern w:val="0"/>
          <w:szCs w:val="32"/>
          <w:shd w:val="clear" w:color="auto" w:fill="FFFFFF"/>
        </w:rPr>
        <w:t>立方米。崇阳输配系统压力级制采用中压A一级压力级制；中远期崇阳输配系统压力级制采用高压B、中压A二级压力级制。中压燃气管道由高中压调压站调压器调压至</w:t>
      </w:r>
      <w:r>
        <w:rPr>
          <w:rFonts w:ascii="Times New Roman" w:hAnsi="Times New Roman" w:eastAsia="仿宋"/>
          <w:kern w:val="0"/>
          <w:szCs w:val="32"/>
          <w:shd w:val="clear" w:color="auto" w:fill="FFFFFF"/>
        </w:rPr>
        <w:t>0</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28</w:t>
      </w:r>
      <w:r>
        <w:rPr>
          <w:rFonts w:ascii="仿宋" w:hAnsi="仿宋" w:eastAsia="仿宋" w:cs="仿宋_GB2312"/>
          <w:kern w:val="0"/>
          <w:szCs w:val="32"/>
          <w:shd w:val="clear" w:color="auto" w:fill="FFFFFF"/>
        </w:rPr>
        <w:t>MPa后开始向街区主干管输气，楼前采用调压箱进户方式。</w:t>
      </w:r>
    </w:p>
    <w:bookmarkEnd w:id="957"/>
    <w:p w14:paraId="1D4668AA">
      <w:pPr>
        <w:pStyle w:val="4"/>
        <w:ind w:firstLine="640"/>
      </w:pPr>
      <w:bookmarkStart w:id="971" w:name="_Toc28120"/>
      <w:bookmarkStart w:id="972" w:name="_Toc25621"/>
      <w:bookmarkStart w:id="973" w:name="_Toc63873588"/>
      <w:bookmarkStart w:id="974" w:name="_Toc18428"/>
      <w:bookmarkStart w:id="975" w:name="_Toc23778"/>
      <w:bookmarkStart w:id="976" w:name="_Toc30773"/>
      <w:bookmarkStart w:id="977" w:name="_Toc138866834"/>
      <w:bookmarkStart w:id="978" w:name="_Toc15090"/>
      <w:bookmarkStart w:id="979" w:name="_Toc6128"/>
      <w:bookmarkStart w:id="980" w:name="_Toc17442"/>
      <w:bookmarkStart w:id="981" w:name="_Toc2426"/>
      <w:bookmarkStart w:id="982" w:name="_Toc138428940"/>
      <w:bookmarkStart w:id="983" w:name="_Toc13410"/>
      <w:bookmarkStart w:id="984" w:name="_Toc63873590"/>
      <w:bookmarkStart w:id="985" w:name="_Toc25453"/>
      <w:bookmarkStart w:id="986" w:name="_Toc63873581"/>
      <w:r>
        <w:rPr>
          <w:rFonts w:hint="eastAsia"/>
        </w:rPr>
        <w:t>县域通信系统</w:t>
      </w:r>
      <w:bookmarkEnd w:id="971"/>
      <w:bookmarkEnd w:id="972"/>
      <w:bookmarkEnd w:id="973"/>
      <w:bookmarkEnd w:id="974"/>
      <w:bookmarkEnd w:id="975"/>
      <w:bookmarkEnd w:id="976"/>
      <w:bookmarkEnd w:id="977"/>
      <w:bookmarkEnd w:id="978"/>
      <w:bookmarkEnd w:id="979"/>
      <w:bookmarkEnd w:id="980"/>
      <w:bookmarkEnd w:id="981"/>
      <w:bookmarkEnd w:id="982"/>
      <w:bookmarkEnd w:id="983"/>
      <w:r>
        <w:rPr>
          <w:rFonts w:hint="eastAsia"/>
        </w:rPr>
        <w:t>规划</w:t>
      </w:r>
    </w:p>
    <w:p w14:paraId="332F809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加快“数字崇阳”的建设步伐。继续加快宽带无线接入网络和数字集群专网发展。启动新一代移动通信</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G网络建设。各营运商采取合资、合作、租用等方式实现资源共建共享。增加移动基站和光接点的数量，争取在全县的综合通信覆盖率达到</w:t>
      </w:r>
      <w:r>
        <w:rPr>
          <w:rFonts w:ascii="Times New Roman" w:hAnsi="Times New Roman" w:eastAsia="仿宋"/>
          <w:kern w:val="0"/>
          <w:szCs w:val="32"/>
          <w:shd w:val="clear" w:color="auto" w:fill="FFFFFF"/>
        </w:rPr>
        <w:t>100</w:t>
      </w:r>
      <w:r>
        <w:rPr>
          <w:rFonts w:ascii="仿宋" w:hAnsi="仿宋" w:eastAsia="仿宋" w:cs="仿宋_GB2312"/>
          <w:kern w:val="0"/>
          <w:szCs w:val="32"/>
          <w:shd w:val="clear" w:color="auto" w:fill="FFFFFF"/>
        </w:rPr>
        <w:t>%。规划在城市、乡镇及工业园区设置电信营业网点，在基层村及以上的居民点设置光纤分纤箱或光缆交换机。布局规划并启动实施崇阳通讯</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G无线网体系建设，</w:t>
      </w:r>
      <w:r>
        <w:rPr>
          <w:rFonts w:hint="eastAsia" w:ascii="仿宋" w:hAnsi="仿宋" w:eastAsia="仿宋" w:cs="仿宋_GB2312"/>
          <w:kern w:val="0"/>
          <w:szCs w:val="32"/>
          <w:shd w:val="clear" w:color="auto" w:fill="FFFFFF"/>
        </w:rPr>
        <w:t>规划</w:t>
      </w:r>
      <w:r>
        <w:rPr>
          <w:rFonts w:ascii="仿宋" w:hAnsi="仿宋" w:eastAsia="仿宋" w:cs="仿宋_GB2312"/>
          <w:kern w:val="0"/>
          <w:szCs w:val="32"/>
          <w:shd w:val="clear" w:color="auto" w:fill="FFFFFF"/>
        </w:rPr>
        <w:t>到</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年，全县</w:t>
      </w:r>
      <w:r>
        <w:rPr>
          <w:rFonts w:ascii="Times New Roman" w:hAnsi="Times New Roman" w:eastAsia="仿宋"/>
          <w:kern w:val="0"/>
          <w:szCs w:val="32"/>
          <w:shd w:val="clear" w:color="auto" w:fill="FFFFFF"/>
        </w:rPr>
        <w:t>12</w:t>
      </w:r>
      <w:r>
        <w:rPr>
          <w:rFonts w:ascii="仿宋" w:hAnsi="仿宋" w:eastAsia="仿宋" w:cs="仿宋_GB2312"/>
          <w:kern w:val="0"/>
          <w:szCs w:val="32"/>
          <w:shd w:val="clear" w:color="auto" w:fill="FFFFFF"/>
        </w:rPr>
        <w:t>个乡镇及经济开发区</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G通信全覆盖。全面落实新建小区光纤到户，加快移动宽带无线网络建设，引导建设单位</w:t>
      </w:r>
      <w:r>
        <w:rPr>
          <w:rFonts w:hint="eastAsia" w:ascii="仿宋" w:hAnsi="仿宋" w:eastAsia="仿宋" w:cs="仿宋_GB2312"/>
          <w:kern w:val="0"/>
          <w:szCs w:val="32"/>
          <w:shd w:val="clear" w:color="auto" w:fill="FFFFFF"/>
        </w:rPr>
        <w:t>。</w:t>
      </w:r>
    </w:p>
    <w:p w14:paraId="5A57F35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广播电视工程规划。规划在主要居住区、中心村和自然村设置光节点，规划远期数字电视的综合入户率达到</w:t>
      </w:r>
      <w:r>
        <w:rPr>
          <w:rFonts w:ascii="Times New Roman" w:hAnsi="Times New Roman" w:eastAsia="仿宋"/>
          <w:kern w:val="0"/>
          <w:szCs w:val="32"/>
          <w:shd w:val="clear" w:color="auto" w:fill="FFFFFF"/>
        </w:rPr>
        <w:t>100</w:t>
      </w:r>
      <w:r>
        <w:rPr>
          <w:rFonts w:ascii="仿宋" w:hAnsi="仿宋" w:eastAsia="仿宋" w:cs="仿宋_GB2312"/>
          <w:kern w:val="0"/>
          <w:szCs w:val="32"/>
          <w:shd w:val="clear" w:color="auto" w:fill="FFFFFF"/>
        </w:rPr>
        <w:t>%（含无线数字、网络电视和有线电视）。在各乡镇结合文化建设设置综合性数字演播厅，在主要社区和中心村设置综合性的数字化演播室。</w:t>
      </w:r>
    </w:p>
    <w:p w14:paraId="584DD0D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邮政营业网点建设。优化营业网点布局，强化标准化建设和规范化管理，提高网点效益，努力将邮政营业网建成布局合理、功能丰富、渠道多样、贴近市场、管理先进、服务诚信、服务质量优良、竞争能力强的现代化网络体系。</w:t>
      </w:r>
    </w:p>
    <w:p w14:paraId="4CED76D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邮政投递网建设。合理布局邮政和邮政储蓄网点，改善邮政网点的工作环境，增强邮政网点的电子化、邮件分拣的机械化水平，中心城区和镇区的邮政服务网点半径不超过一公里。中心村设置邮政代办点。规划在中心城区增设</w:t>
      </w:r>
      <w:r>
        <w:rPr>
          <w:rFonts w:ascii="Times New Roman" w:hAnsi="Times New Roman" w:eastAsia="仿宋"/>
          <w:kern w:val="0"/>
          <w:szCs w:val="32"/>
          <w:shd w:val="clear" w:color="auto" w:fill="FFFFFF"/>
        </w:rPr>
        <w:t>2</w:t>
      </w:r>
      <w:r>
        <w:rPr>
          <w:rFonts w:ascii="仿宋" w:hAnsi="仿宋" w:eastAsia="仿宋" w:cs="仿宋_GB2312"/>
          <w:kern w:val="0"/>
          <w:szCs w:val="32"/>
          <w:shd w:val="clear" w:color="auto" w:fill="FFFFFF"/>
        </w:rPr>
        <w:t>处邮政支局，一般邮政支局规划用地或与其他大型公建合建。</w:t>
      </w:r>
    </w:p>
    <w:p w14:paraId="036BDD0A">
      <w:pPr>
        <w:pStyle w:val="4"/>
        <w:ind w:firstLine="640"/>
      </w:pPr>
      <w:bookmarkStart w:id="987" w:name="_Toc24179"/>
      <w:bookmarkStart w:id="988" w:name="_Toc19314"/>
      <w:bookmarkStart w:id="989" w:name="_Toc138428941"/>
      <w:bookmarkStart w:id="990" w:name="_Toc22061"/>
      <w:bookmarkStart w:id="991" w:name="_Toc25831"/>
      <w:bookmarkStart w:id="992" w:name="_Toc19422"/>
      <w:bookmarkStart w:id="993" w:name="_Toc16205"/>
      <w:bookmarkStart w:id="994" w:name="_Toc138866835"/>
      <w:bookmarkStart w:id="995" w:name="_Toc10957"/>
      <w:bookmarkStart w:id="996" w:name="_Toc22486"/>
      <w:bookmarkStart w:id="997" w:name="_Toc3415"/>
      <w:r>
        <w:rPr>
          <w:rFonts w:hint="eastAsia"/>
        </w:rPr>
        <w:t>县域环卫</w:t>
      </w:r>
      <w:bookmarkEnd w:id="984"/>
      <w:bookmarkEnd w:id="985"/>
      <w:bookmarkEnd w:id="987"/>
      <w:bookmarkEnd w:id="988"/>
      <w:bookmarkEnd w:id="989"/>
      <w:bookmarkEnd w:id="990"/>
      <w:bookmarkEnd w:id="991"/>
      <w:bookmarkEnd w:id="992"/>
      <w:bookmarkEnd w:id="993"/>
      <w:bookmarkEnd w:id="994"/>
      <w:bookmarkEnd w:id="995"/>
      <w:bookmarkEnd w:id="996"/>
      <w:bookmarkEnd w:id="997"/>
      <w:r>
        <w:rPr>
          <w:rFonts w:hint="eastAsia"/>
        </w:rPr>
        <w:t>设施规划</w:t>
      </w:r>
    </w:p>
    <w:p w14:paraId="4AA1409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环卫工程规划目标。至</w:t>
      </w:r>
      <w:r>
        <w:rPr>
          <w:rFonts w:ascii="Times New Roman" w:hAnsi="Times New Roman" w:eastAsia="仿宋"/>
          <w:kern w:val="0"/>
          <w:szCs w:val="32"/>
          <w:shd w:val="clear" w:color="auto" w:fill="FFFFFF"/>
        </w:rPr>
        <w:t>2035</w:t>
      </w:r>
      <w:r>
        <w:rPr>
          <w:rFonts w:ascii="仿宋" w:hAnsi="仿宋" w:eastAsia="仿宋" w:cs="仿宋_GB2312"/>
          <w:kern w:val="0"/>
          <w:szCs w:val="32"/>
          <w:shd w:val="clear" w:color="auto" w:fill="FFFFFF"/>
        </w:rPr>
        <w:t>年末，崇阳中心城区与各乡镇（街道）城乡生活垃圾处理“县、乡镇、村庄”三级网络建立齐备，城乡生活垃圾处理设施完备，乡镇和村庄建成足够数量的垃圾收集点，在全县范围内形成“户分类、组保洁、村收集、镇转运、县处理”的生活垃圾收运处理体系，做到城乡生活垃圾产量与处置能力动态平衡，进一步实现城乡生活垃圾处理减量化、资源化、无害化。</w:t>
      </w:r>
    </w:p>
    <w:p w14:paraId="66B257E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环卫设施规划。崇阳县于</w:t>
      </w:r>
      <w:r>
        <w:rPr>
          <w:rFonts w:ascii="Times New Roman" w:hAnsi="Times New Roman" w:eastAsia="仿宋"/>
          <w:kern w:val="0"/>
          <w:szCs w:val="32"/>
          <w:shd w:val="clear" w:color="auto" w:fill="FFFFFF"/>
        </w:rPr>
        <w:t>2021</w:t>
      </w:r>
      <w:r>
        <w:rPr>
          <w:rFonts w:ascii="仿宋" w:hAnsi="仿宋" w:eastAsia="仿宋" w:cs="仿宋_GB2312"/>
          <w:kern w:val="0"/>
          <w:szCs w:val="32"/>
          <w:shd w:val="clear" w:color="auto" w:fill="FFFFFF"/>
        </w:rPr>
        <w:t>年建成咸宁（崇阳）静脉产业园，环卫设施在规划期内实现“收运密闭化，处理资源化，设施高质化，管理智慧化”的“四化”目标。规划采用“压缩转运站一次转运为主，压缩转运站二次转运和压缩车垃圾直运为辅”的收运模式，将生活垃圾转运至咸宁（崇阳）静脉产业园进行无害化处理。</w:t>
      </w:r>
    </w:p>
    <w:p w14:paraId="4593E958">
      <w:pPr>
        <w:widowControl/>
        <w:spacing w:line="560" w:lineRule="exact"/>
        <w:ind w:firstLine="640"/>
        <w:jc w:val="both"/>
        <w:rPr>
          <w:rFonts w:ascii="仿宋" w:hAnsi="仿宋" w:eastAsia="仿宋" w:cs="仿宋_GB2312"/>
          <w:kern w:val="0"/>
          <w:szCs w:val="32"/>
          <w:u w:val="single"/>
          <w:shd w:val="clear" w:color="auto" w:fill="FFFFFF"/>
        </w:rPr>
      </w:pPr>
      <w:r>
        <w:rPr>
          <w:rFonts w:ascii="仿宋" w:hAnsi="仿宋" w:eastAsia="仿宋" w:cs="仿宋_GB2312"/>
          <w:kern w:val="0"/>
          <w:szCs w:val="32"/>
          <w:shd w:val="clear" w:color="auto" w:fill="FFFFFF"/>
        </w:rPr>
        <w:t>垃圾转运站。</w:t>
      </w:r>
      <w:r>
        <w:rPr>
          <w:rFonts w:hint="eastAsia" w:ascii="仿宋" w:hAnsi="仿宋" w:eastAsia="仿宋" w:cs="仿宋_GB2312"/>
          <w:kern w:val="0"/>
          <w:szCs w:val="32"/>
          <w:u w:val="none"/>
          <w:shd w:val="clear" w:color="auto" w:fill="FFFFFF"/>
        </w:rPr>
        <w:t>天城镇设</w:t>
      </w:r>
      <w:r>
        <w:rPr>
          <w:rFonts w:ascii="Times New Roman" w:hAnsi="Times New Roman" w:eastAsia="仿宋"/>
          <w:kern w:val="0"/>
          <w:szCs w:val="32"/>
          <w:u w:val="none"/>
          <w:shd w:val="clear" w:color="auto" w:fill="FFFFFF"/>
        </w:rPr>
        <w:t>3</w:t>
      </w:r>
      <w:r>
        <w:rPr>
          <w:rFonts w:hint="eastAsia" w:ascii="仿宋" w:hAnsi="仿宋" w:eastAsia="仿宋" w:cs="仿宋_GB2312"/>
          <w:kern w:val="0"/>
          <w:szCs w:val="32"/>
          <w:u w:val="none"/>
          <w:shd w:val="clear" w:color="auto" w:fill="FFFFFF"/>
        </w:rPr>
        <w:t>座垃圾转运站，为规划新增</w:t>
      </w:r>
      <w:r>
        <w:rPr>
          <w:rFonts w:ascii="Times New Roman" w:hAnsi="Times New Roman" w:eastAsia="仿宋"/>
          <w:kern w:val="0"/>
          <w:szCs w:val="32"/>
          <w:u w:val="none"/>
          <w:shd w:val="clear" w:color="auto" w:fill="FFFFFF"/>
        </w:rPr>
        <w:t>1</w:t>
      </w:r>
      <w:r>
        <w:rPr>
          <w:rFonts w:hint="eastAsia" w:ascii="仿宋" w:hAnsi="仿宋" w:eastAsia="仿宋" w:cs="仿宋_GB2312"/>
          <w:kern w:val="0"/>
          <w:szCs w:val="32"/>
          <w:u w:val="none"/>
          <w:shd w:val="clear" w:color="auto" w:fill="FFFFFF"/>
        </w:rPr>
        <w:t>座城北垃圾中转站，现状保留城中、城南垃圾转运站。其余</w:t>
      </w:r>
      <w:r>
        <w:rPr>
          <w:rFonts w:ascii="Times New Roman" w:hAnsi="Times New Roman" w:eastAsia="仿宋"/>
          <w:kern w:val="0"/>
          <w:szCs w:val="32"/>
          <w:u w:val="none"/>
          <w:shd w:val="clear" w:color="auto" w:fill="FFFFFF"/>
        </w:rPr>
        <w:t>11</w:t>
      </w:r>
      <w:r>
        <w:rPr>
          <w:rFonts w:hint="eastAsia" w:ascii="仿宋" w:hAnsi="仿宋" w:eastAsia="仿宋" w:cs="仿宋_GB2312"/>
          <w:kern w:val="0"/>
          <w:szCs w:val="32"/>
          <w:u w:val="none"/>
          <w:shd w:val="clear" w:color="auto" w:fill="FFFFFF"/>
        </w:rPr>
        <w:t>个乡镇现状各建成垃圾转运站</w:t>
      </w:r>
      <w:r>
        <w:rPr>
          <w:rFonts w:ascii="Times New Roman" w:hAnsi="Times New Roman" w:eastAsia="仿宋"/>
          <w:kern w:val="0"/>
          <w:szCs w:val="32"/>
          <w:u w:val="none"/>
          <w:shd w:val="clear" w:color="auto" w:fill="FFFFFF"/>
        </w:rPr>
        <w:t>1</w:t>
      </w:r>
      <w:r>
        <w:rPr>
          <w:rFonts w:hint="eastAsia" w:ascii="仿宋" w:hAnsi="仿宋" w:eastAsia="仿宋" w:cs="仿宋_GB2312"/>
          <w:kern w:val="0"/>
          <w:szCs w:val="32"/>
          <w:u w:val="none"/>
          <w:shd w:val="clear" w:color="auto" w:fill="FFFFFF"/>
        </w:rPr>
        <w:t>座。</w:t>
      </w:r>
    </w:p>
    <w:p w14:paraId="136A138B">
      <w:pPr>
        <w:pStyle w:val="4"/>
        <w:ind w:firstLine="640"/>
      </w:pPr>
      <w:r>
        <w:rPr>
          <w:rFonts w:hint="eastAsia"/>
        </w:rPr>
        <w:t xml:space="preserve">县域重大基础设施廊道规划 </w:t>
      </w:r>
    </w:p>
    <w:p w14:paraId="4C308A2C">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规划新建高压线路、燃气管道等重大设施通道，应避开自然保护地、重要水源地等禁止开发区域。避开永久基本农田，生态保护红线。规划预留铜钟变π吴通线廊道</w:t>
      </w:r>
      <w:r>
        <w:rPr>
          <w:rFonts w:ascii="Times New Roman" w:hAnsi="Times New Roman" w:eastAsia="仿宋"/>
          <w:kern w:val="0"/>
          <w:szCs w:val="32"/>
          <w:u w:val="none"/>
          <w:shd w:val="clear" w:color="auto" w:fill="FFFFFF"/>
        </w:rPr>
        <w:t>220</w:t>
      </w:r>
      <w:r>
        <w:rPr>
          <w:rFonts w:ascii="仿宋" w:hAnsi="仿宋" w:eastAsia="仿宋" w:cs="仿宋_GB2312"/>
          <w:kern w:val="0"/>
          <w:szCs w:val="32"/>
          <w:u w:val="none"/>
          <w:shd w:val="clear" w:color="auto" w:fill="FFFFFF"/>
        </w:rPr>
        <w:t>kv高压廊道，廊道控制</w:t>
      </w:r>
      <w:r>
        <w:rPr>
          <w:rFonts w:ascii="Times New Roman" w:hAnsi="Times New Roman" w:eastAsia="仿宋"/>
          <w:kern w:val="0"/>
          <w:szCs w:val="32"/>
          <w:u w:val="none"/>
          <w:shd w:val="clear" w:color="auto" w:fill="FFFFFF"/>
        </w:rPr>
        <w:t>60</w:t>
      </w:r>
      <w:r>
        <w:rPr>
          <w:rFonts w:ascii="仿宋" w:hAnsi="仿宋" w:eastAsia="仿宋" w:cs="仿宋_GB2312"/>
          <w:kern w:val="0"/>
          <w:szCs w:val="32"/>
          <w:u w:val="none"/>
          <w:shd w:val="clear" w:color="auto" w:fill="FFFFFF"/>
        </w:rPr>
        <w:t>米；预留塘塘口变出线部分廊道、塘口变-崇阳变廊道、塘口变-白霓变廊道、香山变π门阮线廊道、铜钟变π塘崇线廊道、铜钟变π桃阮线廊道、铜钟变T门传线廊道、青山变π铜传线廊道、浮桥变π铜崇线廊道、乌龟石变π门肖线廊道等</w:t>
      </w:r>
      <w:r>
        <w:rPr>
          <w:rFonts w:ascii="Times New Roman" w:hAnsi="Times New Roman" w:eastAsia="仿宋"/>
          <w:kern w:val="0"/>
          <w:szCs w:val="32"/>
          <w:u w:val="none"/>
          <w:shd w:val="clear" w:color="auto" w:fill="FFFFFF"/>
        </w:rPr>
        <w:t>110</w:t>
      </w:r>
      <w:r>
        <w:rPr>
          <w:rFonts w:ascii="仿宋" w:hAnsi="仿宋" w:eastAsia="仿宋" w:cs="仿宋_GB2312"/>
          <w:kern w:val="0"/>
          <w:szCs w:val="32"/>
          <w:u w:val="none"/>
          <w:shd w:val="clear" w:color="auto" w:fill="FFFFFF"/>
        </w:rPr>
        <w:t>kv电力廊道，廊道宽度控制</w:t>
      </w:r>
      <w:r>
        <w:rPr>
          <w:rFonts w:ascii="Times New Roman" w:hAnsi="Times New Roman" w:eastAsia="仿宋"/>
          <w:kern w:val="0"/>
          <w:szCs w:val="32"/>
          <w:u w:val="none"/>
          <w:shd w:val="clear" w:color="auto" w:fill="FFFFFF"/>
        </w:rPr>
        <w:t>30</w:t>
      </w:r>
      <w:r>
        <w:rPr>
          <w:rFonts w:ascii="仿宋" w:hAnsi="仿宋" w:eastAsia="仿宋" w:cs="仿宋_GB2312"/>
          <w:kern w:val="0"/>
          <w:szCs w:val="32"/>
          <w:u w:val="none"/>
          <w:shd w:val="clear" w:color="auto" w:fill="FFFFFF"/>
        </w:rPr>
        <w:t>米。预留咸宁“南三县”重要输气通廊，廊道宽度控制两侧各</w:t>
      </w:r>
      <w:r>
        <w:rPr>
          <w:rFonts w:ascii="Times New Roman" w:hAnsi="Times New Roman" w:eastAsia="仿宋"/>
          <w:kern w:val="0"/>
          <w:szCs w:val="32"/>
          <w:u w:val="none"/>
          <w:shd w:val="clear" w:color="auto" w:fill="FFFFFF"/>
        </w:rPr>
        <w:t>30</w:t>
      </w:r>
      <w:r>
        <w:rPr>
          <w:rFonts w:ascii="仿宋" w:hAnsi="仿宋" w:eastAsia="仿宋" w:cs="仿宋_GB2312"/>
          <w:kern w:val="0"/>
          <w:szCs w:val="32"/>
          <w:u w:val="none"/>
          <w:shd w:val="clear" w:color="auto" w:fill="FFFFFF"/>
        </w:rPr>
        <w:t>米。</w:t>
      </w:r>
    </w:p>
    <w:p w14:paraId="1E3EB091">
      <w:pPr>
        <w:pStyle w:val="4"/>
        <w:ind w:firstLine="640"/>
      </w:pPr>
      <w:r>
        <w:rPr>
          <w:rFonts w:hint="eastAsia"/>
        </w:rPr>
        <w:t xml:space="preserve">落实人民防空防护要求 </w:t>
      </w:r>
    </w:p>
    <w:p w14:paraId="040D6B34">
      <w:pPr>
        <w:widowControl/>
        <w:spacing w:line="560" w:lineRule="exact"/>
        <w:ind w:firstLine="640"/>
        <w:jc w:val="both"/>
        <w:rPr>
          <w:rFonts w:ascii="仿宋" w:hAnsi="仿宋" w:eastAsia="仿宋" w:cs="仿宋_GB2312"/>
          <w:kern w:val="0"/>
          <w:szCs w:val="32"/>
          <w:shd w:val="clear" w:color="auto" w:fill="FFFFFF"/>
        </w:rPr>
      </w:pPr>
      <w:r>
        <w:rPr>
          <w:rFonts w:hint="eastAsia" w:ascii="仿宋" w:hAnsi="仿宋" w:eastAsia="仿宋" w:cs="仿宋_GB2312"/>
          <w:kern w:val="0"/>
          <w:szCs w:val="32"/>
          <w:shd w:val="clear" w:color="auto" w:fill="FFFFFF"/>
        </w:rPr>
        <w:t>规划城市供水、供电、供气、交通、通信等城市生命线工程应落实人民防空防护要求，城市地下综合廊道按照防空袭、防灾害、防事故等需要重点设防，保障人民防空设施。</w:t>
      </w:r>
    </w:p>
    <w:bookmarkEnd w:id="986"/>
    <w:p w14:paraId="52BBEBD4">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998" w:name="_Toc31315"/>
      <w:bookmarkStart w:id="999" w:name="_Toc7581"/>
      <w:bookmarkStart w:id="1000" w:name="_Toc21623"/>
      <w:bookmarkStart w:id="1001" w:name="_Toc24162"/>
      <w:bookmarkStart w:id="1002" w:name="_Toc18765"/>
      <w:bookmarkStart w:id="1003" w:name="_Toc138866837"/>
      <w:bookmarkStart w:id="1004" w:name="_Toc14061"/>
      <w:bookmarkStart w:id="1005" w:name="_Toc24617"/>
      <w:bookmarkStart w:id="1006" w:name="_Toc11195"/>
      <w:bookmarkStart w:id="1007" w:name="_Toc32523"/>
      <w:bookmarkStart w:id="1008" w:name="_Toc7520"/>
      <w:bookmarkStart w:id="1009" w:name="_Toc20771"/>
      <w:bookmarkStart w:id="1010" w:name="_Toc9730"/>
      <w:bookmarkStart w:id="1011" w:name="_Toc63873591"/>
      <w:bookmarkStart w:id="1012" w:name="_Toc7384"/>
      <w:bookmarkStart w:id="1013" w:name="_Toc24202"/>
      <w:bookmarkStart w:id="1014" w:name="_Toc19240"/>
      <w:bookmarkStart w:id="1015" w:name="_Toc138867006"/>
      <w:bookmarkStart w:id="1016" w:name="_Toc14036"/>
      <w:bookmarkStart w:id="1017" w:name="_Toc23836"/>
      <w:bookmarkStart w:id="1018" w:name="_Toc27069"/>
      <w:bookmarkStart w:id="1019" w:name="_Toc11387"/>
      <w:bookmarkStart w:id="1020" w:name="_Toc29322"/>
      <w:bookmarkStart w:id="1021" w:name="_Toc31307"/>
      <w:bookmarkStart w:id="1022" w:name="_Toc10310"/>
      <w:bookmarkStart w:id="1023" w:name="_Toc16375"/>
      <w:r>
        <w:rPr>
          <w:rFonts w:hint="eastAsia" w:ascii="黑体" w:hAnsi="黑体" w:cs="黑体"/>
          <w:bCs w:val="0"/>
        </w:rPr>
        <w:t>第二节 优化中心城区市政公用设施体系</w:t>
      </w:r>
      <w:bookmarkEnd w:id="998"/>
    </w:p>
    <w:p w14:paraId="07D5CEB5">
      <w:pPr>
        <w:pStyle w:val="4"/>
        <w:ind w:firstLine="640"/>
      </w:pPr>
      <w:r>
        <w:rPr>
          <w:rFonts w:hint="eastAsia"/>
        </w:rPr>
        <w:t>中心城区给水设施规划</w:t>
      </w:r>
    </w:p>
    <w:p w14:paraId="60A1E0F1">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规划</w:t>
      </w:r>
      <w:r>
        <w:rPr>
          <w:rFonts w:ascii="Times New Roman" w:hAnsi="Times New Roman" w:eastAsia="仿宋"/>
          <w:kern w:val="0"/>
          <w:szCs w:val="32"/>
          <w:u w:val="none"/>
          <w:shd w:val="clear" w:color="auto" w:fill="FFFFFF"/>
        </w:rPr>
        <w:t>2035</w:t>
      </w:r>
      <w:r>
        <w:rPr>
          <w:rFonts w:ascii="仿宋" w:hAnsi="仿宋" w:eastAsia="仿宋" w:cs="仿宋_GB2312"/>
          <w:kern w:val="0"/>
          <w:szCs w:val="32"/>
          <w:u w:val="none"/>
          <w:shd w:val="clear" w:color="auto" w:fill="FFFFFF"/>
        </w:rPr>
        <w:t>年崇阳县中心城区自来水普及率达到</w:t>
      </w:r>
      <w:r>
        <w:rPr>
          <w:rFonts w:ascii="Times New Roman" w:hAnsi="Times New Roman" w:eastAsia="仿宋"/>
          <w:kern w:val="0"/>
          <w:szCs w:val="32"/>
          <w:u w:val="none"/>
          <w:shd w:val="clear" w:color="auto" w:fill="FFFFFF"/>
        </w:rPr>
        <w:t>100</w:t>
      </w:r>
      <w:r>
        <w:rPr>
          <w:rFonts w:ascii="仿宋" w:hAnsi="仿宋" w:eastAsia="仿宋" w:cs="仿宋_GB2312"/>
          <w:kern w:val="0"/>
          <w:szCs w:val="32"/>
          <w:u w:val="none"/>
          <w:shd w:val="clear" w:color="auto" w:fill="FFFFFF"/>
        </w:rPr>
        <w:t>%，中心城区以青山水库为第一水源，木三李水库水源地为备用水源。</w:t>
      </w:r>
    </w:p>
    <w:p w14:paraId="41BF1729">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规划崇阳中心城区采用统一供水形式，供水管网布置应安全、可靠，以环状为主、枝状为辅。</w:t>
      </w:r>
    </w:p>
    <w:p w14:paraId="37BFA14B">
      <w:pPr>
        <w:pStyle w:val="4"/>
        <w:ind w:firstLine="640"/>
      </w:pPr>
      <w:r>
        <w:rPr>
          <w:rFonts w:hint="eastAsia"/>
        </w:rPr>
        <w:t>中心城区排水设施规划</w:t>
      </w:r>
    </w:p>
    <w:p w14:paraId="66B4CDDD">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shd w:val="clear" w:color="auto" w:fill="FFFFFF"/>
        </w:rPr>
        <w:t>污水工程规划。</w:t>
      </w:r>
      <w:r>
        <w:rPr>
          <w:rFonts w:ascii="仿宋" w:hAnsi="仿宋" w:eastAsia="仿宋" w:cs="仿宋_GB2312"/>
          <w:kern w:val="0"/>
          <w:szCs w:val="32"/>
          <w:u w:val="none"/>
          <w:shd w:val="clear" w:color="auto" w:fill="FFFFFF"/>
        </w:rPr>
        <w:t>规划老城区近期采用截流式合流制，远期逐步改造成雨污分流制，其他区域均采用雨污分流制。</w:t>
      </w:r>
      <w:r>
        <w:rPr>
          <w:rFonts w:hint="eastAsia" w:ascii="仿宋" w:hAnsi="仿宋" w:eastAsia="仿宋" w:cs="仿宋_GB2312"/>
          <w:kern w:val="0"/>
          <w:szCs w:val="32"/>
          <w:u w:val="none"/>
          <w:shd w:val="clear" w:color="auto" w:fill="FFFFFF"/>
        </w:rPr>
        <w:t>中心城区</w:t>
      </w:r>
      <w:r>
        <w:rPr>
          <w:rFonts w:ascii="仿宋" w:hAnsi="仿宋" w:eastAsia="仿宋" w:cs="仿宋_GB2312"/>
          <w:kern w:val="0"/>
          <w:szCs w:val="32"/>
          <w:u w:val="none"/>
          <w:shd w:val="clear" w:color="auto" w:fill="FFFFFF"/>
        </w:rPr>
        <w:t>规划污水处理厂</w:t>
      </w:r>
      <w:r>
        <w:rPr>
          <w:rFonts w:ascii="Times New Roman" w:hAnsi="Times New Roman" w:eastAsia="仿宋"/>
          <w:kern w:val="0"/>
          <w:szCs w:val="32"/>
          <w:u w:val="none"/>
          <w:shd w:val="clear" w:color="auto" w:fill="FFFFFF"/>
        </w:rPr>
        <w:t>3</w:t>
      </w:r>
      <w:r>
        <w:rPr>
          <w:rFonts w:ascii="仿宋" w:hAnsi="仿宋" w:eastAsia="仿宋" w:cs="仿宋_GB2312"/>
          <w:kern w:val="0"/>
          <w:szCs w:val="32"/>
          <w:u w:val="none"/>
          <w:shd w:val="clear" w:color="auto" w:fill="FFFFFF"/>
        </w:rPr>
        <w:t>处，其中</w:t>
      </w:r>
      <w:r>
        <w:rPr>
          <w:rFonts w:hint="eastAsia" w:ascii="仿宋" w:hAnsi="仿宋" w:eastAsia="仿宋" w:cs="仿宋_GB2312"/>
          <w:kern w:val="0"/>
          <w:szCs w:val="32"/>
          <w:u w:val="none"/>
          <w:shd w:val="clear" w:color="auto" w:fill="FFFFFF"/>
        </w:rPr>
        <w:t>规划新建城北及城西污水处理厂，保留天城污水处理厂</w:t>
      </w:r>
      <w:r>
        <w:rPr>
          <w:rFonts w:ascii="仿宋" w:hAnsi="仿宋" w:eastAsia="仿宋" w:cs="仿宋_GB2312"/>
          <w:kern w:val="0"/>
          <w:szCs w:val="32"/>
          <w:u w:val="none"/>
          <w:shd w:val="clear" w:color="auto" w:fill="FFFFFF"/>
        </w:rPr>
        <w:t>。设置污水泵站</w:t>
      </w:r>
      <w:r>
        <w:rPr>
          <w:rFonts w:ascii="Times New Roman" w:hAnsi="Times New Roman" w:eastAsia="仿宋"/>
          <w:kern w:val="0"/>
          <w:szCs w:val="32"/>
          <w:u w:val="none"/>
          <w:shd w:val="clear" w:color="auto" w:fill="FFFFFF"/>
        </w:rPr>
        <w:t>2</w:t>
      </w:r>
      <w:r>
        <w:rPr>
          <w:rFonts w:ascii="仿宋" w:hAnsi="仿宋" w:eastAsia="仿宋" w:cs="仿宋_GB2312"/>
          <w:kern w:val="0"/>
          <w:szCs w:val="32"/>
          <w:u w:val="none"/>
          <w:shd w:val="clear" w:color="auto" w:fill="FFFFFF"/>
        </w:rPr>
        <w:t>处。</w:t>
      </w:r>
    </w:p>
    <w:p w14:paraId="391D448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雨水工程规划。</w:t>
      </w:r>
      <w:r>
        <w:rPr>
          <w:rFonts w:ascii="仿宋" w:hAnsi="仿宋" w:eastAsia="仿宋" w:cs="仿宋_GB2312"/>
          <w:kern w:val="0"/>
          <w:szCs w:val="32"/>
          <w:u w:val="none"/>
          <w:shd w:val="clear" w:color="auto" w:fill="FFFFFF"/>
        </w:rPr>
        <w:t>科学规划确定雨水管渠设计重现期，一般地段</w:t>
      </w:r>
      <w:r>
        <w:rPr>
          <w:rFonts w:ascii="Times New Roman" w:hAnsi="Times New Roman" w:eastAsia="仿宋"/>
          <w:kern w:val="0"/>
          <w:szCs w:val="32"/>
          <w:u w:val="none"/>
          <w:shd w:val="clear" w:color="auto" w:fill="FFFFFF"/>
        </w:rPr>
        <w:t>2</w:t>
      </w:r>
      <w:r>
        <w:rPr>
          <w:rFonts w:ascii="仿宋" w:hAnsi="仿宋" w:eastAsia="仿宋" w:cs="仿宋_GB2312"/>
          <w:kern w:val="0"/>
          <w:szCs w:val="32"/>
          <w:u w:val="none"/>
          <w:shd w:val="clear" w:color="auto" w:fill="FFFFFF"/>
        </w:rPr>
        <w:t>年一遇，重要地区</w:t>
      </w:r>
      <w:r>
        <w:rPr>
          <w:rFonts w:ascii="Times New Roman" w:hAnsi="Times New Roman" w:eastAsia="仿宋"/>
          <w:kern w:val="0"/>
          <w:szCs w:val="32"/>
          <w:u w:val="none"/>
          <w:shd w:val="clear" w:color="auto" w:fill="FFFFFF"/>
        </w:rPr>
        <w:t>3</w:t>
      </w:r>
      <w:r>
        <w:rPr>
          <w:rFonts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5</w:t>
      </w:r>
      <w:r>
        <w:rPr>
          <w:rFonts w:ascii="仿宋" w:hAnsi="仿宋" w:eastAsia="仿宋" w:cs="仿宋_GB2312"/>
          <w:kern w:val="0"/>
          <w:szCs w:val="32"/>
          <w:u w:val="none"/>
          <w:shd w:val="clear" w:color="auto" w:fill="FFFFFF"/>
        </w:rPr>
        <w:t>年一遇，地下通道和下沉式广场等</w:t>
      </w:r>
      <w:r>
        <w:rPr>
          <w:rFonts w:ascii="Times New Roman" w:hAnsi="Times New Roman" w:eastAsia="仿宋"/>
          <w:kern w:val="0"/>
          <w:szCs w:val="32"/>
          <w:u w:val="none"/>
          <w:shd w:val="clear" w:color="auto" w:fill="FFFFFF"/>
        </w:rPr>
        <w:t>10</w:t>
      </w:r>
      <w:r>
        <w:rPr>
          <w:rFonts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20</w:t>
      </w:r>
      <w:r>
        <w:rPr>
          <w:rFonts w:ascii="仿宋" w:hAnsi="仿宋" w:eastAsia="仿宋" w:cs="仿宋_GB2312"/>
          <w:kern w:val="0"/>
          <w:szCs w:val="32"/>
          <w:u w:val="none"/>
          <w:shd w:val="clear" w:color="auto" w:fill="FFFFFF"/>
        </w:rPr>
        <w:t>年一遇</w:t>
      </w:r>
      <w:r>
        <w:rPr>
          <w:rFonts w:hint="eastAsia" w:ascii="仿宋" w:hAnsi="仿宋" w:eastAsia="仿宋" w:cs="仿宋_GB2312"/>
          <w:kern w:val="0"/>
          <w:szCs w:val="32"/>
          <w:u w:val="none"/>
          <w:shd w:val="clear" w:color="auto" w:fill="FFFFFF"/>
        </w:rPr>
        <w:t>，</w:t>
      </w:r>
      <w:r>
        <w:rPr>
          <w:rFonts w:ascii="仿宋" w:hAnsi="仿宋" w:eastAsia="仿宋" w:cs="仿宋_GB2312"/>
          <w:kern w:val="0"/>
          <w:szCs w:val="32"/>
          <w:shd w:val="clear" w:color="auto" w:fill="FFFFFF"/>
        </w:rPr>
        <w:t>综合径流系数取</w:t>
      </w:r>
      <w:r>
        <w:rPr>
          <w:rFonts w:ascii="Times New Roman" w:hAnsi="Times New Roman" w:eastAsia="仿宋"/>
          <w:kern w:val="0"/>
          <w:szCs w:val="32"/>
          <w:shd w:val="clear" w:color="auto" w:fill="FFFFFF"/>
        </w:rPr>
        <w:t>0</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6</w:t>
      </w:r>
      <w:r>
        <w:rPr>
          <w:rFonts w:ascii="仿宋" w:hAnsi="仿宋" w:eastAsia="仿宋" w:cs="仿宋_GB2312"/>
          <w:kern w:val="0"/>
          <w:szCs w:val="32"/>
          <w:shd w:val="clear" w:color="auto" w:fill="FFFFFF"/>
        </w:rPr>
        <w:t>。推进中心城区雨污分流改造，逐步完善排水系统；以就近、分散排入水系为原则，构建雨水排放通道。</w:t>
      </w:r>
    </w:p>
    <w:p w14:paraId="0C4A1D8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雨水规划划分为</w:t>
      </w:r>
      <w:r>
        <w:rPr>
          <w:rFonts w:ascii="Times New Roman" w:hAnsi="Times New Roman" w:eastAsia="仿宋"/>
          <w:kern w:val="0"/>
          <w:szCs w:val="32"/>
          <w:shd w:val="clear" w:color="auto" w:fill="FFFFFF"/>
        </w:rPr>
        <w:t>8</w:t>
      </w:r>
      <w:r>
        <w:rPr>
          <w:rFonts w:ascii="仿宋" w:hAnsi="仿宋" w:eastAsia="仿宋" w:cs="仿宋_GB2312"/>
          <w:kern w:val="0"/>
          <w:szCs w:val="32"/>
          <w:shd w:val="clear" w:color="auto" w:fill="FFFFFF"/>
        </w:rPr>
        <w:t>个大的排水分区，各分区雨水按高水高排、低水低排的原则通过规划道路排向水体。同时在城市开发建设时，尽可能保留现状小型水体，将地势低洼处改造为雨水调蓄受纳场地。</w:t>
      </w:r>
    </w:p>
    <w:p w14:paraId="1C86BDB1">
      <w:pPr>
        <w:pStyle w:val="4"/>
        <w:ind w:firstLine="640"/>
      </w:pPr>
      <w:r>
        <w:rPr>
          <w:rFonts w:hint="eastAsia"/>
        </w:rPr>
        <w:t>中心城区电力设施规划</w:t>
      </w:r>
    </w:p>
    <w:p w14:paraId="679493F6">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中心城区规划以鹿门</w:t>
      </w:r>
      <w:r>
        <w:rPr>
          <w:rFonts w:ascii="Times New Roman" w:hAnsi="Times New Roman" w:eastAsia="仿宋"/>
          <w:kern w:val="0"/>
          <w:szCs w:val="32"/>
          <w:u w:val="none"/>
          <w:shd w:val="clear" w:color="auto" w:fill="FFFFFF"/>
        </w:rPr>
        <w:t>220</w:t>
      </w:r>
      <w:r>
        <w:rPr>
          <w:rFonts w:ascii="仿宋" w:hAnsi="仿宋" w:eastAsia="仿宋" w:cs="仿宋_GB2312"/>
          <w:kern w:val="0"/>
          <w:szCs w:val="32"/>
          <w:u w:val="none"/>
          <w:shd w:val="clear" w:color="auto" w:fill="FFFFFF"/>
        </w:rPr>
        <w:t>KV变电站为总电源，远期将主变容量扩建至</w:t>
      </w:r>
      <w:r>
        <w:rPr>
          <w:rFonts w:ascii="Times New Roman" w:hAnsi="Times New Roman" w:eastAsia="仿宋"/>
          <w:kern w:val="0"/>
          <w:szCs w:val="32"/>
          <w:u w:val="none"/>
          <w:shd w:val="clear" w:color="auto" w:fill="FFFFFF"/>
        </w:rPr>
        <w:t>3</w:t>
      </w:r>
      <w:r>
        <w:rPr>
          <w:rFonts w:ascii="仿宋" w:hAnsi="仿宋" w:eastAsia="仿宋" w:cs="仿宋_GB2312"/>
          <w:kern w:val="0"/>
          <w:szCs w:val="32"/>
          <w:u w:val="none"/>
          <w:shd w:val="clear" w:color="auto" w:fill="FFFFFF"/>
        </w:rPr>
        <w:t>X</w:t>
      </w:r>
      <w:r>
        <w:rPr>
          <w:rFonts w:ascii="Times New Roman" w:hAnsi="Times New Roman" w:eastAsia="仿宋"/>
          <w:kern w:val="0"/>
          <w:szCs w:val="32"/>
          <w:u w:val="none"/>
          <w:shd w:val="clear" w:color="auto" w:fill="FFFFFF"/>
        </w:rPr>
        <w:t>180</w:t>
      </w:r>
      <w:r>
        <w:rPr>
          <w:rFonts w:ascii="仿宋" w:hAnsi="仿宋" w:eastAsia="仿宋" w:cs="仿宋_GB2312"/>
          <w:kern w:val="0"/>
          <w:szCs w:val="32"/>
          <w:u w:val="none"/>
          <w:shd w:val="clear" w:color="auto" w:fill="FFFFFF"/>
        </w:rPr>
        <w:t>MVA。</w:t>
      </w:r>
    </w:p>
    <w:p w14:paraId="124715C0">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扩建现状</w:t>
      </w:r>
      <w:r>
        <w:rPr>
          <w:rFonts w:ascii="Times New Roman" w:hAnsi="Times New Roman" w:eastAsia="仿宋"/>
          <w:kern w:val="0"/>
          <w:szCs w:val="32"/>
          <w:u w:val="none"/>
          <w:shd w:val="clear" w:color="auto" w:fill="FFFFFF"/>
        </w:rPr>
        <w:t>110</w:t>
      </w:r>
      <w:r>
        <w:rPr>
          <w:rFonts w:ascii="仿宋" w:hAnsi="仿宋" w:eastAsia="仿宋" w:cs="仿宋_GB2312"/>
          <w:kern w:val="0"/>
          <w:szCs w:val="32"/>
          <w:u w:val="none"/>
          <w:shd w:val="clear" w:color="auto" w:fill="FFFFFF"/>
        </w:rPr>
        <w:t>KV崇阳变电站至</w:t>
      </w:r>
      <w:r>
        <w:rPr>
          <w:rFonts w:ascii="Times New Roman" w:hAnsi="Times New Roman" w:eastAsia="仿宋"/>
          <w:kern w:val="0"/>
          <w:szCs w:val="32"/>
          <w:u w:val="none"/>
          <w:shd w:val="clear" w:color="auto" w:fill="FFFFFF"/>
        </w:rPr>
        <w:t>2</w:t>
      </w:r>
      <w:r>
        <w:rPr>
          <w:rFonts w:ascii="仿宋" w:hAnsi="仿宋" w:eastAsia="仿宋" w:cs="仿宋_GB2312"/>
          <w:kern w:val="0"/>
          <w:szCs w:val="32"/>
          <w:u w:val="none"/>
          <w:shd w:val="clear" w:color="auto" w:fill="FFFFFF"/>
        </w:rPr>
        <w:t>X</w:t>
      </w:r>
      <w:r>
        <w:rPr>
          <w:rFonts w:ascii="Times New Roman" w:hAnsi="Times New Roman" w:eastAsia="仿宋"/>
          <w:kern w:val="0"/>
          <w:szCs w:val="32"/>
          <w:u w:val="none"/>
          <w:shd w:val="clear" w:color="auto" w:fill="FFFFFF"/>
        </w:rPr>
        <w:t>50</w:t>
      </w:r>
      <w:r>
        <w:rPr>
          <w:rFonts w:ascii="仿宋" w:hAnsi="仿宋" w:eastAsia="仿宋" w:cs="仿宋_GB2312"/>
          <w:kern w:val="0"/>
          <w:szCs w:val="32"/>
          <w:u w:val="none"/>
          <w:shd w:val="clear" w:color="auto" w:fill="FFFFFF"/>
        </w:rPr>
        <w:t>MVA、扩建现状</w:t>
      </w:r>
      <w:r>
        <w:rPr>
          <w:rFonts w:ascii="Times New Roman" w:hAnsi="Times New Roman" w:eastAsia="仿宋"/>
          <w:kern w:val="0"/>
          <w:szCs w:val="32"/>
          <w:u w:val="none"/>
          <w:shd w:val="clear" w:color="auto" w:fill="FFFFFF"/>
        </w:rPr>
        <w:t>110</w:t>
      </w:r>
      <w:r>
        <w:rPr>
          <w:rFonts w:ascii="仿宋" w:hAnsi="仿宋" w:eastAsia="仿宋" w:cs="仿宋_GB2312"/>
          <w:kern w:val="0"/>
          <w:szCs w:val="32"/>
          <w:u w:val="none"/>
          <w:shd w:val="clear" w:color="auto" w:fill="FFFFFF"/>
        </w:rPr>
        <w:t>KV桃溪变至</w:t>
      </w:r>
      <w:r>
        <w:rPr>
          <w:rFonts w:ascii="Times New Roman" w:hAnsi="Times New Roman" w:eastAsia="仿宋"/>
          <w:kern w:val="0"/>
          <w:szCs w:val="32"/>
          <w:u w:val="none"/>
          <w:shd w:val="clear" w:color="auto" w:fill="FFFFFF"/>
        </w:rPr>
        <w:t>2</w:t>
      </w:r>
      <w:r>
        <w:rPr>
          <w:rFonts w:ascii="仿宋" w:hAnsi="仿宋" w:eastAsia="仿宋" w:cs="仿宋_GB2312"/>
          <w:kern w:val="0"/>
          <w:szCs w:val="32"/>
          <w:u w:val="none"/>
          <w:shd w:val="clear" w:color="auto" w:fill="FFFFFF"/>
        </w:rPr>
        <w:t>X</w:t>
      </w:r>
      <w:r>
        <w:rPr>
          <w:rFonts w:ascii="Times New Roman" w:hAnsi="Times New Roman" w:eastAsia="仿宋"/>
          <w:kern w:val="0"/>
          <w:szCs w:val="32"/>
          <w:u w:val="none"/>
          <w:shd w:val="clear" w:color="auto" w:fill="FFFFFF"/>
        </w:rPr>
        <w:t>81</w:t>
      </w:r>
      <w:r>
        <w:rPr>
          <w:rFonts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5</w:t>
      </w:r>
      <w:r>
        <w:rPr>
          <w:rFonts w:ascii="仿宋" w:hAnsi="仿宋" w:eastAsia="仿宋" w:cs="仿宋_GB2312"/>
          <w:kern w:val="0"/>
          <w:szCs w:val="32"/>
          <w:u w:val="none"/>
          <w:shd w:val="clear" w:color="auto" w:fill="FFFFFF"/>
        </w:rPr>
        <w:t>MVA；规划新建</w:t>
      </w:r>
      <w:r>
        <w:rPr>
          <w:rFonts w:ascii="Times New Roman" w:hAnsi="Times New Roman" w:eastAsia="仿宋"/>
          <w:kern w:val="0"/>
          <w:szCs w:val="32"/>
          <w:u w:val="none"/>
          <w:shd w:val="clear" w:color="auto" w:fill="FFFFFF"/>
        </w:rPr>
        <w:t>110</w:t>
      </w:r>
      <w:r>
        <w:rPr>
          <w:rFonts w:ascii="仿宋" w:hAnsi="仿宋" w:eastAsia="仿宋" w:cs="仿宋_GB2312"/>
          <w:kern w:val="0"/>
          <w:szCs w:val="32"/>
          <w:u w:val="none"/>
          <w:shd w:val="clear" w:color="auto" w:fill="FFFFFF"/>
        </w:rPr>
        <w:t>KV乌龟石变（</w:t>
      </w:r>
      <w:r>
        <w:rPr>
          <w:rFonts w:ascii="Times New Roman" w:hAnsi="Times New Roman" w:eastAsia="仿宋"/>
          <w:kern w:val="0"/>
          <w:szCs w:val="32"/>
          <w:u w:val="none"/>
          <w:shd w:val="clear" w:color="auto" w:fill="FFFFFF"/>
        </w:rPr>
        <w:t>2</w:t>
      </w:r>
      <w:r>
        <w:rPr>
          <w:rFonts w:ascii="仿宋" w:hAnsi="仿宋" w:eastAsia="仿宋" w:cs="仿宋_GB2312"/>
          <w:kern w:val="0"/>
          <w:szCs w:val="32"/>
          <w:u w:val="none"/>
          <w:shd w:val="clear" w:color="auto" w:fill="FFFFFF"/>
        </w:rPr>
        <w:t>X</w:t>
      </w:r>
      <w:r>
        <w:rPr>
          <w:rFonts w:ascii="Times New Roman" w:hAnsi="Times New Roman" w:eastAsia="仿宋"/>
          <w:kern w:val="0"/>
          <w:szCs w:val="32"/>
          <w:u w:val="none"/>
          <w:shd w:val="clear" w:color="auto" w:fill="FFFFFF"/>
        </w:rPr>
        <w:t>50</w:t>
      </w:r>
      <w:r>
        <w:rPr>
          <w:rFonts w:ascii="仿宋" w:hAnsi="仿宋" w:eastAsia="仿宋" w:cs="仿宋_GB2312"/>
          <w:kern w:val="0"/>
          <w:szCs w:val="32"/>
          <w:u w:val="none"/>
          <w:shd w:val="clear" w:color="auto" w:fill="FFFFFF"/>
        </w:rPr>
        <w:t>MVA）、新建</w:t>
      </w:r>
      <w:r>
        <w:rPr>
          <w:rFonts w:ascii="Times New Roman" w:hAnsi="Times New Roman" w:eastAsia="仿宋"/>
          <w:kern w:val="0"/>
          <w:szCs w:val="32"/>
          <w:u w:val="none"/>
          <w:shd w:val="clear" w:color="auto" w:fill="FFFFFF"/>
        </w:rPr>
        <w:t>110</w:t>
      </w:r>
      <w:r>
        <w:rPr>
          <w:rFonts w:ascii="仿宋" w:hAnsi="仿宋" w:eastAsia="仿宋" w:cs="仿宋_GB2312"/>
          <w:kern w:val="0"/>
          <w:szCs w:val="32"/>
          <w:u w:val="none"/>
          <w:shd w:val="clear" w:color="auto" w:fill="FFFFFF"/>
        </w:rPr>
        <w:t>KV浮桥变（</w:t>
      </w:r>
      <w:r>
        <w:rPr>
          <w:rFonts w:ascii="Times New Roman" w:hAnsi="Times New Roman" w:eastAsia="仿宋"/>
          <w:kern w:val="0"/>
          <w:szCs w:val="32"/>
          <w:u w:val="none"/>
          <w:shd w:val="clear" w:color="auto" w:fill="FFFFFF"/>
        </w:rPr>
        <w:t>2</w:t>
      </w:r>
      <w:r>
        <w:rPr>
          <w:rFonts w:ascii="仿宋" w:hAnsi="仿宋" w:eastAsia="仿宋" w:cs="仿宋_GB2312"/>
          <w:kern w:val="0"/>
          <w:szCs w:val="32"/>
          <w:u w:val="none"/>
          <w:shd w:val="clear" w:color="auto" w:fill="FFFFFF"/>
        </w:rPr>
        <w:t>X</w:t>
      </w:r>
      <w:r>
        <w:rPr>
          <w:rFonts w:ascii="Times New Roman" w:hAnsi="Times New Roman" w:eastAsia="仿宋"/>
          <w:kern w:val="0"/>
          <w:szCs w:val="32"/>
          <w:u w:val="none"/>
          <w:shd w:val="clear" w:color="auto" w:fill="FFFFFF"/>
        </w:rPr>
        <w:t>63</w:t>
      </w:r>
      <w:r>
        <w:rPr>
          <w:rFonts w:ascii="仿宋" w:hAnsi="仿宋" w:eastAsia="仿宋" w:cs="仿宋_GB2312"/>
          <w:kern w:val="0"/>
          <w:szCs w:val="32"/>
          <w:u w:val="none"/>
          <w:shd w:val="clear" w:color="auto" w:fill="FFFFFF"/>
        </w:rPr>
        <w:t>MVA）、新建</w:t>
      </w:r>
      <w:r>
        <w:rPr>
          <w:rFonts w:ascii="Times New Roman" w:hAnsi="Times New Roman" w:eastAsia="仿宋"/>
          <w:kern w:val="0"/>
          <w:szCs w:val="32"/>
          <w:u w:val="none"/>
          <w:shd w:val="clear" w:color="auto" w:fill="FFFFFF"/>
        </w:rPr>
        <w:t>110</w:t>
      </w:r>
      <w:r>
        <w:rPr>
          <w:rFonts w:ascii="仿宋" w:hAnsi="仿宋" w:eastAsia="仿宋" w:cs="仿宋_GB2312"/>
          <w:kern w:val="0"/>
          <w:szCs w:val="32"/>
          <w:u w:val="none"/>
          <w:shd w:val="clear" w:color="auto" w:fill="FFFFFF"/>
        </w:rPr>
        <w:t>kv香山变（</w:t>
      </w:r>
      <w:r>
        <w:rPr>
          <w:rFonts w:ascii="Times New Roman" w:hAnsi="Times New Roman" w:eastAsia="仿宋"/>
          <w:kern w:val="0"/>
          <w:szCs w:val="32"/>
          <w:u w:val="none"/>
          <w:shd w:val="clear" w:color="auto" w:fill="FFFFFF"/>
        </w:rPr>
        <w:t>2</w:t>
      </w:r>
      <w:r>
        <w:rPr>
          <w:rFonts w:ascii="仿宋" w:hAnsi="仿宋" w:eastAsia="仿宋" w:cs="仿宋_GB2312"/>
          <w:kern w:val="0"/>
          <w:szCs w:val="32"/>
          <w:u w:val="none"/>
          <w:shd w:val="clear" w:color="auto" w:fill="FFFFFF"/>
        </w:rPr>
        <w:t>X</w:t>
      </w:r>
      <w:r>
        <w:rPr>
          <w:rFonts w:ascii="Times New Roman" w:hAnsi="Times New Roman" w:eastAsia="仿宋"/>
          <w:kern w:val="0"/>
          <w:szCs w:val="32"/>
          <w:u w:val="none"/>
          <w:shd w:val="clear" w:color="auto" w:fill="FFFFFF"/>
        </w:rPr>
        <w:t>63</w:t>
      </w:r>
      <w:r>
        <w:rPr>
          <w:rFonts w:ascii="仿宋" w:hAnsi="仿宋" w:eastAsia="仿宋" w:cs="仿宋_GB2312"/>
          <w:kern w:val="0"/>
          <w:szCs w:val="32"/>
          <w:u w:val="none"/>
          <w:shd w:val="clear" w:color="auto" w:fill="FFFFFF"/>
        </w:rPr>
        <w:t>MVA）。</w:t>
      </w:r>
    </w:p>
    <w:p w14:paraId="15F0D4FB">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新规划的</w:t>
      </w:r>
      <w:r>
        <w:rPr>
          <w:rFonts w:ascii="Times New Roman" w:hAnsi="Times New Roman" w:eastAsia="仿宋"/>
          <w:kern w:val="0"/>
          <w:szCs w:val="32"/>
          <w:u w:val="none"/>
          <w:shd w:val="clear" w:color="auto" w:fill="FFFFFF"/>
        </w:rPr>
        <w:t>220</w:t>
      </w:r>
      <w:r>
        <w:rPr>
          <w:rFonts w:ascii="仿宋" w:hAnsi="仿宋" w:eastAsia="仿宋" w:cs="仿宋_GB2312"/>
          <w:kern w:val="0"/>
          <w:szCs w:val="32"/>
          <w:u w:val="none"/>
          <w:shd w:val="clear" w:color="auto" w:fill="FFFFFF"/>
        </w:rPr>
        <w:t>KV变电站规划用地为</w:t>
      </w:r>
      <w:r>
        <w:rPr>
          <w:rFonts w:ascii="Times New Roman" w:hAnsi="Times New Roman" w:eastAsia="仿宋"/>
          <w:kern w:val="0"/>
          <w:szCs w:val="32"/>
          <w:u w:val="none"/>
          <w:shd w:val="clear" w:color="auto" w:fill="FFFFFF"/>
        </w:rPr>
        <w:t>2</w:t>
      </w:r>
      <w:r>
        <w:rPr>
          <w:rFonts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3</w:t>
      </w:r>
      <w:r>
        <w:rPr>
          <w:rFonts w:ascii="仿宋" w:hAnsi="仿宋" w:eastAsia="仿宋" w:cs="仿宋_GB2312"/>
          <w:kern w:val="0"/>
          <w:szCs w:val="32"/>
          <w:u w:val="none"/>
          <w:shd w:val="clear" w:color="auto" w:fill="FFFFFF"/>
        </w:rPr>
        <w:t>公顷；</w:t>
      </w:r>
      <w:r>
        <w:rPr>
          <w:rFonts w:ascii="Times New Roman" w:hAnsi="Times New Roman" w:eastAsia="仿宋"/>
          <w:kern w:val="0"/>
          <w:szCs w:val="32"/>
          <w:u w:val="none"/>
          <w:shd w:val="clear" w:color="auto" w:fill="FFFFFF"/>
        </w:rPr>
        <w:t>110</w:t>
      </w:r>
      <w:r>
        <w:rPr>
          <w:rFonts w:ascii="仿宋" w:hAnsi="仿宋" w:eastAsia="仿宋" w:cs="仿宋_GB2312"/>
          <w:kern w:val="0"/>
          <w:szCs w:val="32"/>
          <w:u w:val="none"/>
          <w:shd w:val="clear" w:color="auto" w:fill="FFFFFF"/>
        </w:rPr>
        <w:t>KV变电站规划</w:t>
      </w:r>
      <w:r>
        <w:rPr>
          <w:rFonts w:ascii="Times New Roman" w:hAnsi="Times New Roman" w:eastAsia="仿宋"/>
          <w:kern w:val="0"/>
          <w:szCs w:val="32"/>
          <w:u w:val="none"/>
          <w:shd w:val="clear" w:color="auto" w:fill="FFFFFF"/>
        </w:rPr>
        <w:t>0</w:t>
      </w:r>
      <w:r>
        <w:rPr>
          <w:rFonts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4</w:t>
      </w:r>
      <w:r>
        <w:rPr>
          <w:rFonts w:ascii="仿宋" w:hAnsi="仿宋" w:eastAsia="仿宋" w:cs="仿宋_GB2312"/>
          <w:kern w:val="0"/>
          <w:szCs w:val="32"/>
          <w:u w:val="none"/>
          <w:shd w:val="clear" w:color="auto" w:fill="FFFFFF"/>
        </w:rPr>
        <w:t>-</w:t>
      </w:r>
      <w:r>
        <w:rPr>
          <w:rFonts w:ascii="Times New Roman" w:hAnsi="Times New Roman" w:eastAsia="仿宋"/>
          <w:kern w:val="0"/>
          <w:szCs w:val="32"/>
          <w:u w:val="none"/>
          <w:shd w:val="clear" w:color="auto" w:fill="FFFFFF"/>
        </w:rPr>
        <w:t>1</w:t>
      </w:r>
      <w:r>
        <w:rPr>
          <w:rFonts w:ascii="仿宋" w:hAnsi="仿宋" w:eastAsia="仿宋" w:cs="仿宋_GB2312"/>
          <w:kern w:val="0"/>
          <w:szCs w:val="32"/>
          <w:u w:val="none"/>
          <w:shd w:val="clear" w:color="auto" w:fill="FFFFFF"/>
        </w:rPr>
        <w:t>公顷。</w:t>
      </w:r>
    </w:p>
    <w:p w14:paraId="5A49B705">
      <w:pPr>
        <w:pStyle w:val="4"/>
        <w:ind w:firstLine="640"/>
      </w:pPr>
      <w:r>
        <w:rPr>
          <w:rFonts w:hint="eastAsia"/>
        </w:rPr>
        <w:t>中心城区通信设施规划</w:t>
      </w:r>
    </w:p>
    <w:p w14:paraId="0ECAB751">
      <w:pPr>
        <w:widowControl/>
        <w:spacing w:line="560" w:lineRule="exact"/>
        <w:ind w:firstLine="641" w:firstLineChars="0"/>
        <w:jc w:val="both"/>
        <w:rPr>
          <w:rFonts w:ascii="仿宋" w:hAnsi="仿宋" w:eastAsia="仿宋" w:cs="仿宋_GB2312"/>
          <w:kern w:val="0"/>
          <w:szCs w:val="32"/>
          <w:shd w:val="clear" w:color="auto" w:fill="FFFFFF"/>
        </w:rPr>
      </w:pPr>
      <w:bookmarkStart w:id="1024" w:name="OLE_LINK24"/>
      <w:bookmarkStart w:id="1025" w:name="OLE_LINK25"/>
      <w:r>
        <w:rPr>
          <w:rFonts w:ascii="仿宋" w:hAnsi="仿宋" w:eastAsia="仿宋" w:cs="仿宋_GB2312"/>
          <w:kern w:val="0"/>
          <w:szCs w:val="32"/>
          <w:shd w:val="clear" w:color="auto" w:fill="FFFFFF"/>
        </w:rPr>
        <w:t>电信工程规划。规划新增电信支局</w:t>
      </w:r>
      <w:r>
        <w:rPr>
          <w:rFonts w:ascii="Times New Roman" w:hAnsi="Times New Roman" w:eastAsia="仿宋"/>
          <w:kern w:val="0"/>
          <w:szCs w:val="32"/>
          <w:shd w:val="clear" w:color="auto" w:fill="FFFFFF"/>
        </w:rPr>
        <w:t>2</w:t>
      </w:r>
      <w:r>
        <w:rPr>
          <w:rFonts w:ascii="仿宋" w:hAnsi="仿宋" w:eastAsia="仿宋" w:cs="仿宋_GB2312"/>
          <w:kern w:val="0"/>
          <w:szCs w:val="32"/>
          <w:shd w:val="clear" w:color="auto" w:fill="FFFFFF"/>
        </w:rPr>
        <w:t>处（均与邮政支局合建）。移动通信基站尽量建在公共建筑上，在居住区应采用多基站、小功率的方式布置，减少电磁辐射。在多个经营商基站相近的地方应采用共享技术公用基站，减少重复投资。规划</w:t>
      </w:r>
      <w:r>
        <w:rPr>
          <w:rFonts w:hint="eastAsia" w:ascii="仿宋" w:hAnsi="仿宋" w:eastAsia="仿宋" w:cs="仿宋_GB2312"/>
          <w:kern w:val="0"/>
          <w:szCs w:val="32"/>
          <w:shd w:val="clear" w:color="auto" w:fill="FFFFFF"/>
        </w:rPr>
        <w:t>中心城区</w:t>
      </w:r>
      <w:r>
        <w:rPr>
          <w:rFonts w:ascii="仿宋" w:hAnsi="仿宋" w:eastAsia="仿宋" w:cs="仿宋_GB2312"/>
          <w:kern w:val="0"/>
          <w:szCs w:val="32"/>
          <w:shd w:val="clear" w:color="auto" w:fill="FFFFFF"/>
        </w:rPr>
        <w:t>主要的电信及弱电光（电）线路采用管道方式敷设于人行道下。</w:t>
      </w:r>
    </w:p>
    <w:p w14:paraId="6C4DAEFE">
      <w:pPr>
        <w:widowControl/>
        <w:spacing w:line="560" w:lineRule="exact"/>
        <w:ind w:firstLine="641" w:firstLineChars="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邮政通信规划。规划新增邮政支局</w:t>
      </w:r>
      <w:r>
        <w:rPr>
          <w:rFonts w:ascii="Times New Roman" w:hAnsi="Times New Roman" w:eastAsia="仿宋"/>
          <w:kern w:val="0"/>
          <w:szCs w:val="32"/>
          <w:shd w:val="clear" w:color="auto" w:fill="FFFFFF"/>
        </w:rPr>
        <w:t>2</w:t>
      </w:r>
      <w:r>
        <w:rPr>
          <w:rFonts w:ascii="仿宋" w:hAnsi="仿宋" w:eastAsia="仿宋" w:cs="仿宋_GB2312"/>
          <w:kern w:val="0"/>
          <w:szCs w:val="32"/>
          <w:shd w:val="clear" w:color="auto" w:fill="FFFFFF"/>
        </w:rPr>
        <w:t>处。中心城区的居住、行政办公和商贸商务区按</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公里为服务半径结合其他建筑配置邮政服务网点。规划有线电视主干光缆与电信及其他弱电光（电）缆同侧地埋敷设。</w:t>
      </w:r>
      <w:bookmarkEnd w:id="1024"/>
      <w:bookmarkEnd w:id="1025"/>
    </w:p>
    <w:p w14:paraId="65D00C1D">
      <w:pPr>
        <w:pStyle w:val="4"/>
        <w:ind w:firstLine="640"/>
      </w:pPr>
      <w:r>
        <w:rPr>
          <w:rFonts w:hint="eastAsia"/>
        </w:rPr>
        <w:t>中心城区燃气设施规划</w:t>
      </w:r>
    </w:p>
    <w:p w14:paraId="229BE4B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近期燃气用户采用液化石油气瓶装供气；中、远期中心城区将形成管道天然气为主气源、瓶装液化石油气为辅助气源的格局。</w:t>
      </w:r>
    </w:p>
    <w:p w14:paraId="00B6AABE">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在城区东侧规划</w:t>
      </w:r>
      <w:r>
        <w:rPr>
          <w:rFonts w:ascii="Times New Roman" w:hAnsi="Times New Roman" w:eastAsia="仿宋"/>
          <w:kern w:val="0"/>
          <w:szCs w:val="32"/>
          <w:u w:val="none"/>
          <w:shd w:val="clear" w:color="auto" w:fill="FFFFFF"/>
        </w:rPr>
        <w:t>1</w:t>
      </w:r>
      <w:r>
        <w:rPr>
          <w:rFonts w:ascii="仿宋" w:hAnsi="仿宋" w:eastAsia="仿宋" w:cs="仿宋_GB2312"/>
          <w:kern w:val="0"/>
          <w:szCs w:val="32"/>
          <w:u w:val="none"/>
          <w:shd w:val="clear" w:color="auto" w:fill="FFFFFF"/>
        </w:rPr>
        <w:t>处天然气门站，附设高高压调压站；规划</w:t>
      </w:r>
      <w:r>
        <w:rPr>
          <w:rFonts w:ascii="Times New Roman" w:hAnsi="Times New Roman" w:eastAsia="仿宋"/>
          <w:kern w:val="0"/>
          <w:szCs w:val="32"/>
          <w:u w:val="none"/>
          <w:shd w:val="clear" w:color="auto" w:fill="FFFFFF"/>
        </w:rPr>
        <w:t>1</w:t>
      </w:r>
      <w:r>
        <w:rPr>
          <w:rFonts w:ascii="仿宋" w:hAnsi="仿宋" w:eastAsia="仿宋" w:cs="仿宋_GB2312"/>
          <w:kern w:val="0"/>
          <w:szCs w:val="32"/>
          <w:u w:val="none"/>
          <w:shd w:val="clear" w:color="auto" w:fill="FFFFFF"/>
        </w:rPr>
        <w:t>处CNG（压缩天然气）加气母站，</w:t>
      </w:r>
      <w:r>
        <w:rPr>
          <w:rFonts w:ascii="Times New Roman" w:hAnsi="Times New Roman" w:eastAsia="仿宋"/>
          <w:kern w:val="0"/>
          <w:szCs w:val="32"/>
          <w:u w:val="none"/>
          <w:shd w:val="clear" w:color="auto" w:fill="FFFFFF"/>
        </w:rPr>
        <w:t>2</w:t>
      </w:r>
      <w:r>
        <w:rPr>
          <w:rFonts w:ascii="仿宋" w:hAnsi="仿宋" w:eastAsia="仿宋" w:cs="仿宋_GB2312"/>
          <w:kern w:val="0"/>
          <w:szCs w:val="32"/>
          <w:u w:val="none"/>
          <w:shd w:val="clear" w:color="auto" w:fill="FFFFFF"/>
        </w:rPr>
        <w:t>处CNG（压缩天然气）子站；另规划</w:t>
      </w:r>
      <w:r>
        <w:rPr>
          <w:rFonts w:ascii="Times New Roman" w:hAnsi="Times New Roman" w:eastAsia="仿宋"/>
          <w:kern w:val="0"/>
          <w:szCs w:val="32"/>
          <w:u w:val="none"/>
          <w:shd w:val="clear" w:color="auto" w:fill="FFFFFF"/>
        </w:rPr>
        <w:t>1</w:t>
      </w:r>
      <w:r>
        <w:rPr>
          <w:rFonts w:ascii="仿宋" w:hAnsi="仿宋" w:eastAsia="仿宋" w:cs="仿宋_GB2312"/>
          <w:kern w:val="0"/>
          <w:szCs w:val="32"/>
          <w:u w:val="none"/>
          <w:shd w:val="clear" w:color="auto" w:fill="FFFFFF"/>
        </w:rPr>
        <w:t>处液化石油气储配站。</w:t>
      </w:r>
    </w:p>
    <w:p w14:paraId="2DC330F0">
      <w:pPr>
        <w:pStyle w:val="4"/>
        <w:ind w:firstLine="640"/>
      </w:pPr>
      <w:r>
        <w:rPr>
          <w:rFonts w:hint="eastAsia"/>
        </w:rPr>
        <w:t>中心城区环卫设施规划</w:t>
      </w:r>
    </w:p>
    <w:p w14:paraId="4A849B4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规划形成“垃圾收集-垃圾转运－垃圾填埋/焚烧/回收利用”的收运系统，规划期中心城区道路清扫机械化程度</w:t>
      </w:r>
      <w:r>
        <w:rPr>
          <w:rFonts w:ascii="Times New Roman" w:hAnsi="Times New Roman" w:eastAsia="仿宋"/>
          <w:kern w:val="0"/>
          <w:szCs w:val="32"/>
          <w:shd w:val="clear" w:color="auto" w:fill="FFFFFF"/>
        </w:rPr>
        <w:t>70</w:t>
      </w:r>
      <w:r>
        <w:rPr>
          <w:rFonts w:ascii="仿宋" w:hAnsi="仿宋" w:eastAsia="仿宋" w:cs="仿宋_GB2312"/>
          <w:kern w:val="0"/>
          <w:szCs w:val="32"/>
          <w:shd w:val="clear" w:color="auto" w:fill="FFFFFF"/>
        </w:rPr>
        <w:t>%以上。</w:t>
      </w:r>
    </w:p>
    <w:p w14:paraId="43DF0AB9">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026" w:name="_Toc20260"/>
      <w:r>
        <w:rPr>
          <w:rFonts w:hint="eastAsia" w:ascii="黑体" w:hAnsi="黑体" w:cs="黑体"/>
          <w:bCs w:val="0"/>
        </w:rPr>
        <w:t>第三节 构建安全韧性的综合防灾减灾体系</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6"/>
    </w:p>
    <w:p w14:paraId="0AE6869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牢固树立和贯彻落实总体国家安全观，坚持政府主导与社会参与相结合，坚持以防为主、防抗救相结合，坚持常态减灾和非常态救灾相统一，增强自然灾害和城市安全突发事件应急管理能力，高标准规划建设重大防灾减灾基础设施，降低城市脆弱度，形成全天候、系统性、现代化的城市安全保障体系。</w:t>
      </w:r>
    </w:p>
    <w:p w14:paraId="4D9D2A77">
      <w:pPr>
        <w:pStyle w:val="4"/>
        <w:ind w:firstLine="640"/>
      </w:pPr>
      <w:r>
        <w:rPr>
          <w:rFonts w:hint="eastAsia"/>
        </w:rPr>
        <w:t>识别自然灾害风险分布</w:t>
      </w:r>
    </w:p>
    <w:p w14:paraId="513B938F">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根据第一次全国自然灾害综合风险普查结果，崇阳县灾害风险划分为高风险区、中风险区、低风险区。将全县地质灾害高风险区主要分布于肖岭乡、沙坪镇、青山镇、铜钟乡、石城镇、桂花泉镇部分区域。中风险区分布于幕阜山、大幕山区域。</w:t>
      </w:r>
    </w:p>
    <w:p w14:paraId="0686D62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崇阳县主要灾害类型为地质灾害及森林火灾，提升地质灾害防治能力，加强气象灾害综合防御体系建设，完善森林火灾监测预警与应急处置机制。</w:t>
      </w:r>
    </w:p>
    <w:p w14:paraId="3238604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乡镇地区应强化综合防灾减灾体系建设，提升自然灾害的能力。应优化乡镇基础设施布局，合理规划避灾场所，完善防洪排洪排涝设施，增强极端天气下的应急响应能力。加强地质灾害易发区和水域周边的监测预警，严格控制在高风险区域进行建设。推进乡镇绿化和生态修复，提高抵御气象灾害的能力，确保乡镇居民安全和生产生活稳定。</w:t>
      </w:r>
    </w:p>
    <w:p w14:paraId="170A92A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村庄地区应结合自然地理条件，科学选址、合理布局，避免在洪涝、滑头、泥石流等高风险区域建设。加强村庄基础设施防灾能力建设，完善排水、防风、防火等工程措施，提高村民应对极端天气的能力。健全基层预警体系，提升灾害应急响应和自救互救能力，推动村庄生态修复，增强灾害防御的可持续性，确保村庄安全稳定发展。</w:t>
      </w:r>
    </w:p>
    <w:p w14:paraId="687CF46F">
      <w:pPr>
        <w:pStyle w:val="4"/>
        <w:ind w:firstLine="640"/>
      </w:pPr>
      <w:bookmarkStart w:id="1027" w:name="_Toc18817"/>
      <w:bookmarkStart w:id="1028" w:name="_Toc9490"/>
      <w:bookmarkStart w:id="1029" w:name="_Toc121"/>
      <w:bookmarkStart w:id="1030" w:name="_Toc5172"/>
      <w:bookmarkStart w:id="1031" w:name="_Toc63873592"/>
      <w:bookmarkStart w:id="1032" w:name="_Toc138866838"/>
      <w:bookmarkStart w:id="1033" w:name="_Toc8885"/>
      <w:bookmarkStart w:id="1034" w:name="_Toc138428943"/>
      <w:bookmarkStart w:id="1035" w:name="_Toc27463"/>
      <w:bookmarkStart w:id="1036" w:name="_Toc22258"/>
      <w:bookmarkStart w:id="1037" w:name="_Toc6275"/>
      <w:bookmarkStart w:id="1038" w:name="_Toc18940"/>
      <w:bookmarkStart w:id="1039" w:name="_Toc15592"/>
      <w:r>
        <w:rPr>
          <w:rFonts w:hint="eastAsia"/>
        </w:rPr>
        <w:t>保障地质环境安全</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14:paraId="1264F6C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重要地质灾害调查与勘查。在地质灾害易发区和地质灾害重点防治区划基础上，对重要地质灾害隐患点进行调整和勘查，查明地质灾害体的特征，成因机制和发展趋势。</w:t>
      </w:r>
    </w:p>
    <w:p w14:paraId="530831F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积极开展地质灾害治理工程。实施“村庄避险”工程，基本完成有严重安全隐患村庄的搬迁避让工作。在城镇及村庄人员暂时未能全部搬迁脱离危险区之前，应采取地表排水、地面保护、裂缝填埋、植树种草、削方减载等工程治理，并建立预报警装置，发现险情组织撤离。</w:t>
      </w:r>
    </w:p>
    <w:p w14:paraId="51C56CD4">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重要工程建设和旅游景区开发地质灾害防治与监管。交通沿线、水利工程和旅游景区等受地质灾害威胁的区域，应由交通、水利、旅游主管部门，有关乡镇、行政村实行联合监管，并按照“谁诱发，谁治理”的原则，由有关部门对上述地区发生的地质灾害组织治理工程。</w:t>
      </w:r>
    </w:p>
    <w:p w14:paraId="66504B4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地质灾害监测网络和预警系统建设。建立县、乡（镇）、村三级地质灾害群测群防网络和地质灾害预报预警体系。开展对地质灾害隐患点群结合的监测，切实做好重要地质灾害隐患点的临时预报，降低地质灾害带来的损失。地质灾害分区分为地质灾害重点防治区、地质灾害次重点防治区、地质灾害一般防治区进行分类防治。</w:t>
      </w:r>
    </w:p>
    <w:p w14:paraId="295013D8">
      <w:pPr>
        <w:pStyle w:val="4"/>
        <w:ind w:firstLine="640"/>
      </w:pPr>
      <w:bookmarkStart w:id="1040" w:name="_Toc8985"/>
      <w:bookmarkStart w:id="1041" w:name="_Toc138866839"/>
      <w:bookmarkStart w:id="1042" w:name="_Toc14172"/>
      <w:bookmarkStart w:id="1043" w:name="_Toc12482"/>
      <w:bookmarkStart w:id="1044" w:name="_Toc6792"/>
      <w:bookmarkStart w:id="1045" w:name="_Toc63873594"/>
      <w:bookmarkStart w:id="1046" w:name="_Toc16895"/>
      <w:bookmarkStart w:id="1047" w:name="_Toc17859"/>
      <w:bookmarkStart w:id="1048" w:name="_Toc32634"/>
      <w:bookmarkStart w:id="1049" w:name="_Toc138428944"/>
      <w:bookmarkStart w:id="1050" w:name="_Toc29910"/>
      <w:bookmarkStart w:id="1051" w:name="_Toc11948"/>
      <w:bookmarkStart w:id="1052" w:name="_Toc7833"/>
      <w:bookmarkStart w:id="1053" w:name="_Toc63873593"/>
      <w:r>
        <w:rPr>
          <w:rFonts w:hint="eastAsia"/>
        </w:rPr>
        <w:t>建设防洪排涝体系</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14:paraId="61B771D2">
      <w:pPr>
        <w:widowControl/>
        <w:spacing w:line="560" w:lineRule="exact"/>
        <w:ind w:firstLine="640"/>
        <w:jc w:val="both"/>
        <w:rPr>
          <w:rFonts w:ascii="仿宋" w:hAnsi="仿宋" w:eastAsia="仿宋" w:cs="仿宋_GB2312"/>
          <w:kern w:val="0"/>
          <w:szCs w:val="32"/>
          <w:shd w:val="clear" w:color="auto" w:fill="FFFFFF"/>
        </w:rPr>
      </w:pPr>
      <w:r>
        <w:rPr>
          <w:rFonts w:hint="eastAsia" w:ascii="仿宋" w:hAnsi="仿宋" w:eastAsia="仿宋" w:cs="仿宋_GB2312"/>
          <w:kern w:val="0"/>
          <w:szCs w:val="32"/>
          <w:u w:val="none"/>
          <w:shd w:val="clear" w:color="auto" w:fill="FFFFFF"/>
        </w:rPr>
        <w:t>防洪标准</w:t>
      </w:r>
      <w:r>
        <w:rPr>
          <w:rFonts w:ascii="仿宋" w:hAnsi="仿宋" w:eastAsia="仿宋" w:cs="仿宋_GB2312"/>
          <w:kern w:val="0"/>
          <w:szCs w:val="32"/>
          <w:u w:val="none"/>
          <w:shd w:val="clear" w:color="auto" w:fill="FFFFFF"/>
        </w:rPr>
        <w:t>。</w:t>
      </w:r>
      <w:r>
        <w:rPr>
          <w:rFonts w:hint="eastAsia" w:ascii="仿宋" w:hAnsi="仿宋" w:eastAsia="仿宋" w:cs="仿宋_GB2312"/>
          <w:kern w:val="0"/>
          <w:szCs w:val="32"/>
          <w:u w:val="none"/>
          <w:shd w:val="clear" w:color="auto" w:fill="FFFFFF"/>
        </w:rPr>
        <w:t>建设安全可靠的防洪减灾体系，陆水干流崇阳县</w:t>
      </w:r>
      <w:r>
        <w:rPr>
          <w:rFonts w:ascii="仿宋" w:hAnsi="仿宋" w:eastAsia="仿宋" w:cs="仿宋_GB2312"/>
          <w:kern w:val="0"/>
          <w:szCs w:val="32"/>
          <w:u w:val="none"/>
          <w:shd w:val="clear" w:color="auto" w:fill="FFFFFF"/>
        </w:rPr>
        <w:t>中心城区</w:t>
      </w:r>
      <w:r>
        <w:rPr>
          <w:rFonts w:hint="eastAsia" w:ascii="仿宋" w:hAnsi="仿宋" w:eastAsia="仿宋" w:cs="仿宋_GB2312"/>
          <w:kern w:val="0"/>
          <w:szCs w:val="32"/>
          <w:u w:val="none"/>
          <w:shd w:val="clear" w:color="auto" w:fill="FFFFFF"/>
        </w:rPr>
        <w:t>段防洪标准为</w:t>
      </w:r>
      <w:r>
        <w:rPr>
          <w:rFonts w:ascii="Times New Roman" w:hAnsi="Times New Roman" w:eastAsia="仿宋"/>
          <w:kern w:val="0"/>
          <w:szCs w:val="32"/>
          <w:u w:val="none"/>
          <w:shd w:val="clear" w:color="auto" w:fill="FFFFFF"/>
        </w:rPr>
        <w:t>20</w:t>
      </w:r>
      <w:r>
        <w:rPr>
          <w:rFonts w:hint="eastAsia" w:ascii="仿宋" w:hAnsi="仿宋" w:eastAsia="仿宋" w:cs="仿宋_GB2312"/>
          <w:kern w:val="0"/>
          <w:szCs w:val="32"/>
          <w:u w:val="none"/>
          <w:shd w:val="clear" w:color="auto" w:fill="FFFFFF"/>
        </w:rPr>
        <w:t>年一遇，群众密集居住的集镇防洪标准达到</w:t>
      </w:r>
      <w:r>
        <w:rPr>
          <w:rFonts w:ascii="Times New Roman" w:hAnsi="Times New Roman" w:eastAsia="仿宋"/>
          <w:kern w:val="0"/>
          <w:szCs w:val="32"/>
          <w:u w:val="none"/>
          <w:shd w:val="clear" w:color="auto" w:fill="FFFFFF"/>
        </w:rPr>
        <w:t>10</w:t>
      </w:r>
      <w:r>
        <w:rPr>
          <w:rFonts w:hint="eastAsia" w:ascii="仿宋" w:hAnsi="仿宋" w:eastAsia="仿宋" w:cs="仿宋_GB2312"/>
          <w:kern w:val="0"/>
          <w:szCs w:val="32"/>
          <w:u w:val="none"/>
          <w:shd w:val="clear" w:color="auto" w:fill="FFFFFF"/>
        </w:rPr>
        <w:t>年一遇。高堤河、大市河、青山河等中小河流达到</w:t>
      </w:r>
      <w:r>
        <w:rPr>
          <w:rFonts w:ascii="Times New Roman" w:hAnsi="Times New Roman" w:eastAsia="仿宋"/>
          <w:kern w:val="0"/>
          <w:szCs w:val="32"/>
          <w:u w:val="none"/>
          <w:shd w:val="clear" w:color="auto" w:fill="FFFFFF"/>
        </w:rPr>
        <w:t>10</w:t>
      </w:r>
      <w:r>
        <w:rPr>
          <w:rFonts w:hint="eastAsia" w:ascii="仿宋" w:hAnsi="仿宋" w:eastAsia="仿宋" w:cs="仿宋_GB2312"/>
          <w:kern w:val="0"/>
          <w:szCs w:val="32"/>
          <w:u w:val="none"/>
          <w:shd w:val="clear" w:color="auto" w:fill="FFFFFF"/>
        </w:rPr>
        <w:t>年一遇防洪标准。</w:t>
      </w:r>
      <w:r>
        <w:rPr>
          <w:rFonts w:ascii="仿宋" w:hAnsi="仿宋" w:eastAsia="仿宋" w:cs="仿宋_GB2312"/>
          <w:kern w:val="0"/>
          <w:szCs w:val="32"/>
          <w:shd w:val="clear" w:color="auto" w:fill="FFFFFF"/>
        </w:rPr>
        <w:t>建设要求及措施。结合隽水干流及主要支流、青山水库岸线划定洪涝风险控制线，保障防洪排涝系统的完整性和通达性，为雨洪水蓄滞和行洪划定的自然空间和重大调蓄设施用地范围。</w:t>
      </w:r>
    </w:p>
    <w:p w14:paraId="38A6E4D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对沿河堤防和各支流的堤防进行全面整险加固，使河道两岸形成封闭的保护圈；加高加固堤身堤基，提高防洪安全性；加固整治河岸险工险段，提高岸坡稳定性。</w:t>
      </w:r>
    </w:p>
    <w:p w14:paraId="3CEF8D3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对排灌区内的泵站和设备进行维修、更新；改造加固泵房、进出水管，改造主机组及其配套的电气设备等，进一步加强排涝泵站的建设，检修加固闸阀，提高防洪排涝标准。</w:t>
      </w:r>
    </w:p>
    <w:p w14:paraId="1768EE6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规划对大中型水库进行除险加固；对县域小（一）型水库、小（二）型水库全面进行除险加固。</w:t>
      </w:r>
    </w:p>
    <w:p w14:paraId="4EBC296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对河流、河港及民垸进行整治，加深拓宽清淤河道、加高培厚堤防，修复整治水毁堤段，改造堰塘，清除洪障，护砌险工险段，提高防洪能力。对各溢洪道按标准预留，禁止占用，保证通道畅通，定期监测，由水利部门出防洪调度预案。改造建设山洪灾害预警系统，使山洪综合防治能力明显提高。</w:t>
      </w:r>
    </w:p>
    <w:p w14:paraId="6722E7C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城市防洪排涝设施的建设应贯彻海绵城市理念，绿色调蓄设施是城市“海绵体”的最重要形式，在城区尽可能建设生物滞留设施、下凹式绿地，并建设大型调节池、调蓄隧道、多功能调蓄公园或开放空间、泛洪调蓄区等，以达到对积水进行调蓄的目的。</w:t>
      </w:r>
    </w:p>
    <w:p w14:paraId="0902327D">
      <w:pPr>
        <w:pStyle w:val="4"/>
        <w:ind w:firstLine="640"/>
      </w:pPr>
      <w:bookmarkStart w:id="1054" w:name="_Toc15283"/>
      <w:bookmarkStart w:id="1055" w:name="_Toc18018"/>
      <w:bookmarkStart w:id="1056" w:name="_Toc138428945"/>
      <w:bookmarkStart w:id="1057" w:name="_Toc19703"/>
      <w:bookmarkStart w:id="1058" w:name="_Toc138866840"/>
      <w:bookmarkStart w:id="1059" w:name="_Toc28527"/>
      <w:bookmarkStart w:id="1060" w:name="_Toc27325"/>
      <w:bookmarkStart w:id="1061" w:name="_Toc17627"/>
      <w:bookmarkStart w:id="1062" w:name="_Toc15386"/>
      <w:bookmarkStart w:id="1063" w:name="_Toc20250"/>
      <w:bookmarkStart w:id="1064" w:name="_Toc8552"/>
      <w:bookmarkStart w:id="1065" w:name="_Toc13238"/>
      <w:r>
        <w:rPr>
          <w:rFonts w:hint="eastAsia"/>
        </w:rPr>
        <w:t>增强城市抗震能力</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14:paraId="27941DC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抗震标准。全县按照最新的国家标准进行设防，重要的工程和建筑提高一度设防。城镇交通、供水、通讯、医疗系统等生命线工程，城镇要害部门建筑以及人员密集的公共建筑，应按照省有关规定，开展地震安全性评价。</w:t>
      </w:r>
    </w:p>
    <w:p w14:paraId="3B8CDBA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大震危险源和承灾体风险源探查，进一步摸清大震巨灾风险底数。开展城市活动断层探测，推动辖区内断裂探查工作，逐步完成辖区内活动断层探测和动态监测，明确辖区地震危险水平。加强探查成果在工程抗震设防上应用。对于探明有活动能力的主要地震构造，查明区域内崇阳-新宁断裂、塘口-白沙岭断裂的危险性水平，在规划工程项目时，应主动避让，根据相关标准规范预留充足的安全避让距离。对于坐落在有活动能力的主要地震构造通过区域内的已有建（构）筑物，应按有关要求采取搬迁或抗震加固等防范措施。定期开展地震灾害风险评估，加强房屋建筑和基础设施的地震灾害风险监测和隐患排查。建设重大风险源地震监测和安全预警平台，提高区域地震灾害风险感知能力。保护地震监测设施和地震观测环境，按照有关规定划定地震台站观测环境保护范围，并纳入国土空间规划</w:t>
      </w:r>
      <w:r>
        <w:rPr>
          <w:rFonts w:hint="eastAsia" w:ascii="仿宋" w:hAnsi="仿宋" w:eastAsia="仿宋" w:cs="仿宋_GB2312"/>
          <w:kern w:val="0"/>
          <w:szCs w:val="32"/>
          <w:shd w:val="clear" w:color="auto" w:fill="FFFFFF"/>
        </w:rPr>
        <w:t>“</w:t>
      </w:r>
      <w:r>
        <w:rPr>
          <w:rFonts w:ascii="仿宋" w:hAnsi="仿宋" w:eastAsia="仿宋" w:cs="仿宋_GB2312"/>
          <w:kern w:val="0"/>
          <w:szCs w:val="32"/>
          <w:shd w:val="clear" w:color="auto" w:fill="FFFFFF"/>
        </w:rPr>
        <w:t>一张图</w:t>
      </w:r>
      <w:r>
        <w:rPr>
          <w:rFonts w:hint="eastAsia" w:ascii="仿宋" w:hAnsi="仿宋" w:eastAsia="仿宋" w:cs="仿宋_GB2312"/>
          <w:kern w:val="0"/>
          <w:szCs w:val="32"/>
          <w:shd w:val="clear" w:color="auto" w:fill="FFFFFF"/>
        </w:rPr>
        <w:t>”</w:t>
      </w:r>
      <w:r>
        <w:rPr>
          <w:rFonts w:ascii="仿宋" w:hAnsi="仿宋" w:eastAsia="仿宋" w:cs="仿宋_GB2312"/>
          <w:kern w:val="0"/>
          <w:szCs w:val="32"/>
          <w:shd w:val="clear" w:color="auto" w:fill="FFFFFF"/>
        </w:rPr>
        <w:t>实施监督信息系统。开展精细化地震灾害风险评估与区划，提升区域地震灾害风险防范能力和应急应对水平。</w:t>
      </w:r>
    </w:p>
    <w:p w14:paraId="4BEE0C6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建设要求及措施。新建、改建、扩建的工程应严格按照最新的国家标准所确定的抗震设防要求进行抗震设防，重大建设工程和可能发生严重灾害的建设工程，建设时应当避开危险地段，无法避开时采取有效措施，避免震动发生次生灾害。</w:t>
      </w:r>
    </w:p>
    <w:p w14:paraId="225FB78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老城区建筑逐步进行抗震加固，城市供水、供电、供气、交通、通信等城市生命线工程应落实人民防空防护要求，城市地下综合管廊按照防空袭、防恐袭、防灾害、防事故等需要重点设防。逐步开展对现状尚未采取抗震设防措施的工程的抗震性能鉴定，采取措施加强抗震能力。</w:t>
      </w:r>
    </w:p>
    <w:p w14:paraId="768C17F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紧急避震疏散场所用地面积不小于</w:t>
      </w:r>
      <w:r>
        <w:rPr>
          <w:rFonts w:ascii="Times New Roman" w:hAnsi="Times New Roman" w:eastAsia="仿宋"/>
          <w:kern w:val="0"/>
          <w:szCs w:val="32"/>
          <w:shd w:val="clear" w:color="auto" w:fill="FFFFFF"/>
        </w:rPr>
        <w:t>0</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公顷，人均有效避难面积不小于</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平方米，服务半径为</w:t>
      </w:r>
      <w:r>
        <w:rPr>
          <w:rFonts w:ascii="Times New Roman" w:hAnsi="Times New Roman" w:eastAsia="仿宋"/>
          <w:kern w:val="0"/>
          <w:szCs w:val="32"/>
          <w:shd w:val="clear" w:color="auto" w:fill="FFFFFF"/>
        </w:rPr>
        <w:t>500</w:t>
      </w:r>
      <w:r>
        <w:rPr>
          <w:rFonts w:ascii="仿宋" w:hAnsi="仿宋" w:eastAsia="仿宋" w:cs="仿宋_GB2312"/>
          <w:kern w:val="0"/>
          <w:szCs w:val="32"/>
          <w:shd w:val="clear" w:color="auto" w:fill="FFFFFF"/>
        </w:rPr>
        <w:t>米，步行距离为</w:t>
      </w:r>
      <w:r>
        <w:rPr>
          <w:rFonts w:ascii="Times New Roman" w:hAnsi="Times New Roman" w:eastAsia="仿宋"/>
          <w:kern w:val="0"/>
          <w:szCs w:val="32"/>
          <w:shd w:val="clear" w:color="auto" w:fill="FFFFFF"/>
        </w:rPr>
        <w:t>10</w:t>
      </w:r>
      <w:r>
        <w:rPr>
          <w:rFonts w:ascii="仿宋" w:hAnsi="仿宋" w:eastAsia="仿宋" w:cs="仿宋_GB2312"/>
          <w:kern w:val="0"/>
          <w:szCs w:val="32"/>
          <w:shd w:val="clear" w:color="auto" w:fill="FFFFFF"/>
        </w:rPr>
        <w:t>分钟；固定避震疏散场所用地面积不小于</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公顷，服务半径为</w:t>
      </w:r>
      <w:r>
        <w:rPr>
          <w:rFonts w:ascii="Times New Roman" w:hAnsi="Times New Roman" w:eastAsia="仿宋"/>
          <w:kern w:val="0"/>
          <w:szCs w:val="32"/>
          <w:shd w:val="clear" w:color="auto" w:fill="FFFFFF"/>
        </w:rPr>
        <w:t>2</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3</w:t>
      </w:r>
      <w:r>
        <w:rPr>
          <w:rFonts w:ascii="仿宋" w:hAnsi="仿宋" w:eastAsia="仿宋" w:cs="仿宋_GB2312"/>
          <w:kern w:val="0"/>
          <w:szCs w:val="32"/>
          <w:shd w:val="clear" w:color="auto" w:fill="FFFFFF"/>
        </w:rPr>
        <w:t>公里；地面避震疏散场所主要利用公园、体育场所、学校、小区绿地、广场、停车场等；地下避震疏散场地主要利用人防工程。</w:t>
      </w:r>
    </w:p>
    <w:p w14:paraId="57BBBE5A">
      <w:pPr>
        <w:pStyle w:val="4"/>
        <w:ind w:firstLine="640"/>
      </w:pPr>
      <w:bookmarkStart w:id="1066" w:name="_Toc63873595"/>
      <w:bookmarkStart w:id="1067" w:name="_Toc24492"/>
      <w:bookmarkStart w:id="1068" w:name="_Toc1918"/>
      <w:bookmarkStart w:id="1069" w:name="_Toc138866841"/>
      <w:bookmarkStart w:id="1070" w:name="_Toc18514"/>
      <w:bookmarkStart w:id="1071" w:name="_Toc25402"/>
      <w:bookmarkStart w:id="1072" w:name="_Toc3246"/>
      <w:bookmarkStart w:id="1073" w:name="_Toc138428946"/>
      <w:bookmarkStart w:id="1074" w:name="_Toc30204"/>
      <w:bookmarkStart w:id="1075" w:name="_Toc1827"/>
      <w:bookmarkStart w:id="1076" w:name="_Toc27856"/>
      <w:bookmarkStart w:id="1077" w:name="_Toc20342"/>
      <w:bookmarkStart w:id="1078" w:name="_Toc26109"/>
      <w:r>
        <w:rPr>
          <w:rFonts w:hint="eastAsia"/>
        </w:rPr>
        <w:t>提升消防安全体系</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14:paraId="6575FF81">
      <w:pPr>
        <w:widowControl/>
        <w:spacing w:line="560" w:lineRule="exact"/>
        <w:ind w:firstLine="640"/>
        <w:jc w:val="both"/>
        <w:rPr>
          <w:rFonts w:ascii="仿宋" w:hAnsi="仿宋" w:eastAsia="仿宋" w:cs="仿宋_GB2312"/>
          <w:kern w:val="0"/>
          <w:szCs w:val="32"/>
          <w:u w:val="none"/>
          <w:shd w:val="clear" w:color="auto" w:fill="FFFFFF"/>
        </w:rPr>
      </w:pPr>
      <w:r>
        <w:rPr>
          <w:rFonts w:hint="eastAsia" w:ascii="仿宋" w:hAnsi="仿宋" w:eastAsia="仿宋" w:cs="仿宋_GB2312"/>
          <w:kern w:val="0"/>
          <w:szCs w:val="32"/>
          <w:u w:val="none"/>
          <w:shd w:val="clear" w:color="auto" w:fill="FFFFFF"/>
        </w:rPr>
        <w:t>规划县域</w:t>
      </w:r>
      <w:r>
        <w:rPr>
          <w:rFonts w:ascii="仿宋" w:hAnsi="仿宋" w:eastAsia="仿宋" w:cs="仿宋_GB2312"/>
          <w:kern w:val="0"/>
          <w:szCs w:val="32"/>
          <w:u w:val="none"/>
          <w:shd w:val="clear" w:color="auto" w:fill="FFFFFF"/>
        </w:rPr>
        <w:t>规划特勤消防站</w:t>
      </w:r>
      <w:r>
        <w:rPr>
          <w:rFonts w:ascii="Times New Roman" w:hAnsi="Times New Roman" w:eastAsia="仿宋"/>
          <w:kern w:val="0"/>
          <w:szCs w:val="32"/>
          <w:u w:val="none"/>
          <w:shd w:val="clear" w:color="auto" w:fill="FFFFFF"/>
        </w:rPr>
        <w:t>1</w:t>
      </w:r>
      <w:r>
        <w:rPr>
          <w:rFonts w:ascii="仿宋" w:hAnsi="仿宋" w:eastAsia="仿宋" w:cs="仿宋_GB2312"/>
          <w:kern w:val="0"/>
          <w:szCs w:val="32"/>
          <w:u w:val="none"/>
          <w:shd w:val="clear" w:color="auto" w:fill="FFFFFF"/>
        </w:rPr>
        <w:t>处，</w:t>
      </w:r>
      <w:r>
        <w:rPr>
          <w:rFonts w:hint="eastAsia" w:ascii="仿宋" w:hAnsi="仿宋" w:eastAsia="仿宋" w:cs="仿宋_GB2312"/>
          <w:kern w:val="0"/>
          <w:szCs w:val="32"/>
          <w:u w:val="none"/>
          <w:shd w:val="clear" w:color="auto" w:fill="FFFFFF"/>
        </w:rPr>
        <w:t>中心城区</w:t>
      </w:r>
      <w:r>
        <w:rPr>
          <w:rFonts w:ascii="Times New Roman" w:hAnsi="Times New Roman" w:eastAsia="仿宋"/>
          <w:kern w:val="0"/>
          <w:szCs w:val="32"/>
          <w:u w:val="none"/>
          <w:shd w:val="clear" w:color="auto" w:fill="FFFFFF"/>
        </w:rPr>
        <w:t>5</w:t>
      </w:r>
      <w:r>
        <w:rPr>
          <w:rFonts w:hint="eastAsia" w:ascii="仿宋" w:hAnsi="仿宋" w:eastAsia="仿宋" w:cs="仿宋_GB2312"/>
          <w:kern w:val="0"/>
          <w:szCs w:val="32"/>
          <w:u w:val="none"/>
          <w:shd w:val="clear" w:color="auto" w:fill="FFFFFF"/>
        </w:rPr>
        <w:t>座</w:t>
      </w:r>
      <w:r>
        <w:rPr>
          <w:rFonts w:ascii="仿宋" w:hAnsi="仿宋" w:eastAsia="仿宋" w:cs="仿宋_GB2312"/>
          <w:kern w:val="0"/>
          <w:szCs w:val="32"/>
          <w:u w:val="none"/>
          <w:shd w:val="clear" w:color="auto" w:fill="FFFFFF"/>
        </w:rPr>
        <w:t>普通</w:t>
      </w:r>
      <w:r>
        <w:rPr>
          <w:rFonts w:hint="eastAsia" w:ascii="仿宋" w:hAnsi="仿宋" w:eastAsia="仿宋" w:cs="仿宋_GB2312"/>
          <w:kern w:val="0"/>
          <w:szCs w:val="32"/>
          <w:u w:val="none"/>
          <w:shd w:val="clear" w:color="auto" w:fill="FFFFFF"/>
        </w:rPr>
        <w:t>一级消防站；其余乡镇各设置</w:t>
      </w:r>
      <w:r>
        <w:rPr>
          <w:rFonts w:ascii="Times New Roman" w:hAnsi="Times New Roman" w:eastAsia="仿宋"/>
          <w:kern w:val="0"/>
          <w:szCs w:val="32"/>
          <w:u w:val="none"/>
          <w:shd w:val="clear" w:color="auto" w:fill="FFFFFF"/>
        </w:rPr>
        <w:t>1</w:t>
      </w:r>
      <w:r>
        <w:rPr>
          <w:rFonts w:hint="eastAsia" w:ascii="仿宋" w:hAnsi="仿宋" w:eastAsia="仿宋" w:cs="仿宋_GB2312"/>
          <w:kern w:val="0"/>
          <w:szCs w:val="32"/>
          <w:u w:val="none"/>
          <w:shd w:val="clear" w:color="auto" w:fill="FFFFFF"/>
        </w:rPr>
        <w:t>座普通二级消防站。</w:t>
      </w:r>
      <w:r>
        <w:rPr>
          <w:rFonts w:ascii="仿宋" w:hAnsi="仿宋" w:eastAsia="仿宋" w:cs="仿宋_GB2312"/>
          <w:kern w:val="0"/>
          <w:szCs w:val="32"/>
          <w:u w:val="none"/>
          <w:shd w:val="clear" w:color="auto" w:fill="FFFFFF"/>
        </w:rPr>
        <w:t>农村地区的消防工作由周边乡镇的消防站承担，同时应因地制宜，加强消防基础设施建设，提高扑救初期火灾的能力。</w:t>
      </w:r>
    </w:p>
    <w:p w14:paraId="2F75475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合理规划消防车道。紧密结合城市道路交通规划，以快速路、主干路、次干路、支路为主要消防车道。</w:t>
      </w:r>
    </w:p>
    <w:p w14:paraId="122D608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中心城区保证沿城市主要道路以不大于</w:t>
      </w:r>
      <w:r>
        <w:rPr>
          <w:rFonts w:ascii="Times New Roman" w:hAnsi="Times New Roman" w:eastAsia="仿宋"/>
          <w:kern w:val="0"/>
          <w:szCs w:val="32"/>
          <w:shd w:val="clear" w:color="auto" w:fill="FFFFFF"/>
        </w:rPr>
        <w:t>120</w:t>
      </w:r>
      <w:r>
        <w:rPr>
          <w:rFonts w:ascii="仿宋" w:hAnsi="仿宋" w:eastAsia="仿宋" w:cs="仿宋_GB2312"/>
          <w:kern w:val="0"/>
          <w:szCs w:val="32"/>
          <w:shd w:val="clear" w:color="auto" w:fill="FFFFFF"/>
        </w:rPr>
        <w:t>米的间距布设消防栓，服务半径为</w:t>
      </w:r>
      <w:r>
        <w:rPr>
          <w:rFonts w:ascii="Times New Roman" w:hAnsi="Times New Roman" w:eastAsia="仿宋"/>
          <w:kern w:val="0"/>
          <w:szCs w:val="32"/>
          <w:shd w:val="clear" w:color="auto" w:fill="FFFFFF"/>
        </w:rPr>
        <w:t>150</w:t>
      </w:r>
      <w:r>
        <w:rPr>
          <w:rFonts w:ascii="仿宋" w:hAnsi="仿宋" w:eastAsia="仿宋" w:cs="仿宋_GB2312"/>
          <w:kern w:val="0"/>
          <w:szCs w:val="32"/>
          <w:shd w:val="clear" w:color="auto" w:fill="FFFFFF"/>
        </w:rPr>
        <w:t>米，要求达到全覆盖。各级城镇应在水厂建设及给水管网中保证事故时消防水量供给，加快消防通信及消防通道建设。严格按照《城市消防站建设标准》，进行消防站布局和相应的配套设施，完善市政消火栓的建设。城市道路上的消火栓间距按照小于或等于</w:t>
      </w:r>
      <w:r>
        <w:rPr>
          <w:rFonts w:ascii="Times New Roman" w:hAnsi="Times New Roman" w:eastAsia="仿宋"/>
          <w:kern w:val="0"/>
          <w:szCs w:val="32"/>
          <w:shd w:val="clear" w:color="auto" w:fill="FFFFFF"/>
        </w:rPr>
        <w:t>120</w:t>
      </w:r>
      <w:r>
        <w:rPr>
          <w:rFonts w:ascii="仿宋" w:hAnsi="仿宋" w:eastAsia="仿宋" w:cs="仿宋_GB2312"/>
          <w:kern w:val="0"/>
          <w:szCs w:val="32"/>
          <w:shd w:val="clear" w:color="auto" w:fill="FFFFFF"/>
        </w:rPr>
        <w:t>米设置。当道路宽度超过</w:t>
      </w:r>
      <w:r>
        <w:rPr>
          <w:rFonts w:ascii="Times New Roman" w:hAnsi="Times New Roman" w:eastAsia="仿宋"/>
          <w:kern w:val="0"/>
          <w:szCs w:val="32"/>
          <w:shd w:val="clear" w:color="auto" w:fill="FFFFFF"/>
        </w:rPr>
        <w:t>60</w:t>
      </w:r>
      <w:r>
        <w:rPr>
          <w:rFonts w:ascii="仿宋" w:hAnsi="仿宋" w:eastAsia="仿宋" w:cs="仿宋_GB2312"/>
          <w:kern w:val="0"/>
          <w:szCs w:val="32"/>
          <w:shd w:val="clear" w:color="auto" w:fill="FFFFFF"/>
        </w:rPr>
        <w:t>米时，同时在道路两侧布置消火栓；现状道路上消火栓不足时需补充消火栓；新建道路随着道路的建设按标准设置消火栓。</w:t>
      </w:r>
    </w:p>
    <w:p w14:paraId="4CCA19A7">
      <w:pPr>
        <w:pStyle w:val="4"/>
        <w:spacing w:line="560" w:lineRule="exact"/>
        <w:ind w:firstLine="640"/>
      </w:pPr>
      <w:r>
        <w:rPr>
          <w:rFonts w:hint="eastAsia"/>
        </w:rPr>
        <w:t>提升森林防火安全体系</w:t>
      </w:r>
    </w:p>
    <w:p w14:paraId="52FA245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崇阳县森林火灾高风险区主要分布于沙坪镇、肖岭乡、高枧乡、金塘镇、铜钟乡、港口乡等地区。建立健全森林防火组织体系、网格化责任体系和部门合作体系，进一步完善森林火灾预防、扑救和保障三大体系。实现森林防火工作重心向深化源头管控、全力防范风险纵深拓展；治理方式向实现群防群治、依法严格管理纵深拓展；基础建设向科学统筹规划、不断提质增效纵深拓展；火灾扑救向推广以水灭火、强化空地一体纵深拓展，森林防火长效机制基本形成，实现森林防火治理体系和治理能力现代化，确保不发生重大以上森林火灾，确保不发生人员伤亡。</w:t>
      </w:r>
    </w:p>
    <w:p w14:paraId="48286924">
      <w:pPr>
        <w:pStyle w:val="4"/>
        <w:ind w:firstLine="640"/>
      </w:pPr>
      <w:r>
        <w:rPr>
          <w:rFonts w:hint="eastAsia"/>
        </w:rPr>
        <w:t>建设现代人民防空体系</w:t>
      </w:r>
    </w:p>
    <w:p w14:paraId="7480CEBB">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按照“长期准备、重点建设、平战结合”的方针，加强人民防空体系建设，构建稳定顺畅的组织指挥体系、聚焦重点的目标防护体系、功能完备的人员防护体系、专群结合的专业力量体系、保障有力的人口疏散体系。推动人民防空建设与城市基础设施建设、地下空间开发协调发展，实现平时战时深度融合、地上地下协同规划、防空防灾统筹建设。</w:t>
      </w:r>
    </w:p>
    <w:p w14:paraId="298DC4C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新建民用建筑按照《湖北省人民防空工程管理规定》，同步修建防空地下室，做到应建尽建，城区常住人口人员掩蔽工程人均面积达到国家、省的有关要求。加强重要目标防护，优化调整重要目标空间布局，把住重要目标项目选址源头，新建重要目标应充分评估项目选址的安全性，预置防护能力应与项目主体工程同步设计、一体推进，强化重要目标抗毁能力。</w:t>
      </w:r>
    </w:p>
    <w:p w14:paraId="5D4A95E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人防工程建设应与城市建设和地下空间开发利用相结合，地下空间开发利用应兼顾人防。充分利用城市规划区内的公共绿地、停车场、公园和地下行车道、过街通道建设人民防空工程，使其具备平时防灾抗震、战时防空抗毁的多重功能。大力推进结合新建民用建筑修建防空地下室工作，加固改造旧工事，落实人防工事维护管理和拆除报废规定，确保人防工事处于良好的战备状态。城市供水、供电、供气、交通、通信等城市生命线工程应落实人民防空防护要求，城市地下综合管廊按照防空袭、防恐袭、防灾害、防事故等需要重点设防。</w:t>
      </w:r>
    </w:p>
    <w:p w14:paraId="4017BE95">
      <w:pPr>
        <w:widowControl/>
        <w:spacing w:line="560" w:lineRule="exact"/>
        <w:ind w:firstLine="640"/>
        <w:jc w:val="both"/>
        <w:rPr>
          <w:rFonts w:ascii="仿宋" w:hAnsi="仿宋" w:eastAsia="仿宋" w:cs="仿宋_GB2312"/>
          <w:kern w:val="0"/>
          <w:szCs w:val="32"/>
          <w:u w:val="single"/>
          <w:shd w:val="clear" w:color="auto" w:fill="FFFFFF"/>
        </w:rPr>
      </w:pPr>
      <w:r>
        <w:rPr>
          <w:rFonts w:ascii="仿宋" w:hAnsi="仿宋" w:eastAsia="仿宋" w:cs="仿宋_GB2312"/>
          <w:kern w:val="0"/>
          <w:szCs w:val="32"/>
          <w:shd w:val="clear" w:color="auto" w:fill="FFFFFF"/>
        </w:rPr>
        <w:t>加强人民防空体系建设，构建与国家安全需求、全省战略地位、全县实际情况相适应的人员防护体系、目标防护体系、专业力量体系、组织指挥体系，提高城市综合防护能力。推动人民防空建设与城市基础设施建设、地下空间开发协调发展，实现平时战时深度融合、地上地下协同规划、防空防灾统筹建设。</w:t>
      </w:r>
    </w:p>
    <w:p w14:paraId="24FD2348">
      <w:pPr>
        <w:widowControl/>
        <w:spacing w:line="560" w:lineRule="exact"/>
        <w:ind w:firstLine="640"/>
        <w:jc w:val="both"/>
        <w:rPr>
          <w:rFonts w:ascii="仿宋" w:hAnsi="仿宋" w:eastAsia="仿宋" w:cs="仿宋_GB2312"/>
          <w:kern w:val="0"/>
          <w:szCs w:val="32"/>
          <w:shd w:val="clear" w:color="auto" w:fill="FFFFFF"/>
        </w:rPr>
      </w:pPr>
      <w:r>
        <w:rPr>
          <w:rFonts w:hint="eastAsia" w:ascii="仿宋" w:hAnsi="仿宋" w:eastAsia="仿宋" w:cs="仿宋_GB2312"/>
          <w:kern w:val="0"/>
          <w:szCs w:val="32"/>
          <w:shd w:val="clear" w:color="auto" w:fill="FFFFFF"/>
        </w:rPr>
        <w:t>强化风险评估与协同应对。将空袭风险纳入综合防灾体系的风险评估范围，结合城市的战略地位、周边军事态势等因素，分析空袭可能造成的破坏和影响，制定相应的风险应对策略。加强人防与地震、火灾、洪水等其他灾害防御部门的协同合作，建立信息共享机制和联合指挥体系。</w:t>
      </w:r>
    </w:p>
    <w:p w14:paraId="658DB5BB">
      <w:pPr>
        <w:widowControl/>
        <w:spacing w:line="560" w:lineRule="exact"/>
        <w:ind w:firstLine="640"/>
        <w:jc w:val="both"/>
        <w:rPr>
          <w:rFonts w:ascii="仿宋" w:hAnsi="仿宋" w:eastAsia="仿宋" w:cs="仿宋_GB2312"/>
          <w:kern w:val="0"/>
          <w:szCs w:val="32"/>
          <w:shd w:val="clear" w:color="auto" w:fill="FFFFFF"/>
        </w:rPr>
      </w:pPr>
      <w:r>
        <w:rPr>
          <w:rFonts w:hint="eastAsia" w:ascii="仿宋" w:hAnsi="仿宋" w:eastAsia="仿宋" w:cs="仿宋_GB2312"/>
          <w:kern w:val="0"/>
          <w:szCs w:val="32"/>
          <w:shd w:val="clear" w:color="auto" w:fill="FFFFFF"/>
        </w:rPr>
        <w:t>按照军事设施分类管理需要，合理安排毗邻军事设施一定范围内的铁路、公路、航空、电力油气、网络通信等项目规划，改变地形地貌、影响电磁环境、开发地下空间、开辟旅游景点、对外开放或者开辟口岸等项目建设和审批，避免影响军事设施安全保密和使用效能。</w:t>
      </w:r>
    </w:p>
    <w:p w14:paraId="0721AD52">
      <w:pPr>
        <w:widowControl/>
        <w:spacing w:line="560" w:lineRule="exact"/>
        <w:ind w:firstLine="640"/>
        <w:jc w:val="both"/>
        <w:rPr>
          <w:rFonts w:ascii="仿宋" w:hAnsi="仿宋" w:eastAsia="仿宋" w:cs="仿宋_GB2312"/>
          <w:kern w:val="0"/>
          <w:szCs w:val="32"/>
          <w:u w:val="none"/>
          <w:shd w:val="clear" w:color="auto" w:fill="FFFFFF"/>
        </w:rPr>
      </w:pPr>
      <w:r>
        <w:rPr>
          <w:rFonts w:ascii="仿宋" w:hAnsi="仿宋" w:eastAsia="仿宋" w:cs="仿宋_GB2312"/>
          <w:kern w:val="0"/>
          <w:szCs w:val="32"/>
          <w:u w:val="none"/>
          <w:shd w:val="clear" w:color="auto" w:fill="FFFFFF"/>
        </w:rPr>
        <w:t>城市供水、供电、供气、交通、通信等城市生命线工程应落实人民防空防护要求，城市地下综合管廊按照防空袭、防恐袭、防灾害、防事故等需要重点设防。</w:t>
      </w:r>
    </w:p>
    <w:p w14:paraId="3A4ADE97">
      <w:pPr>
        <w:pStyle w:val="4"/>
        <w:ind w:firstLine="640"/>
      </w:pPr>
      <w:bookmarkStart w:id="1079" w:name="_Toc63873598"/>
      <w:bookmarkStart w:id="1080" w:name="_Toc138428948"/>
      <w:bookmarkStart w:id="1081" w:name="_Toc6928"/>
      <w:bookmarkStart w:id="1082" w:name="_Toc14891"/>
      <w:bookmarkStart w:id="1083" w:name="_Toc138866843"/>
      <w:bookmarkStart w:id="1084" w:name="_Toc16663"/>
      <w:bookmarkStart w:id="1085" w:name="_Toc3151"/>
      <w:bookmarkStart w:id="1086" w:name="_Toc15746"/>
      <w:bookmarkStart w:id="1087" w:name="_Toc18360"/>
      <w:bookmarkStart w:id="1088" w:name="_Toc12737"/>
      <w:bookmarkStart w:id="1089" w:name="_Toc32395"/>
      <w:bookmarkStart w:id="1090" w:name="_Toc32403"/>
      <w:bookmarkStart w:id="1091" w:name="_Toc22726"/>
      <w:r>
        <w:rPr>
          <w:rFonts w:hint="eastAsia"/>
        </w:rPr>
        <w:t>完善应急管理体系</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14:paraId="23D7DF4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坚持“统一领导、分级负责、相互协同、属地为主”的原则，进一步深化防灾减灾体制机制改革，进一步加强县减灾委员会及其办公室统筹指导和综合协调作用。防灾减灾方面，加强灾害主管部门与乡镇间的协调配合和应急联动，完善自然灾害监测预警预报和群测群防机制，健全综合防灾减灾信息资源的获取和共享机制。完善防灾基础设施建设、生活保障安排、物资装备储备等方面的综合投入机制。救灾方面，建立和完善军地协同联动、救援力量调配、物资储运调配等应急联动机制；健全灾后救助、灾害损失评估、恢复重建规划编制与实施等长效机制。以社区生活圈为基础构建城市健康安全单元。以中小学或社区公园为中心，按照涵盖步行</w:t>
      </w: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分钟或距家</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公里范围划分社区安全生活圈，完善应急空间网络。以社区生活圈为基础构建城市健康安全单元，按照“平灾结合”的原则，结合公园、绿地、广场等开敞空间和体育场馆等公共设施作为紧急避难场所，形成网格化、分布式的应急避难场所和疏散通道。</w:t>
      </w:r>
    </w:p>
    <w:p w14:paraId="0349157F">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县减灾委员会成员单位对防灾减灾相关内容落实情况的评估，切实提高规划实施成效。按照相关法律法规和基本建设程序要求组织推动规划重大项目建设，严格做好项目实施过程的监督检查。</w:t>
      </w:r>
    </w:p>
    <w:p w14:paraId="0A85367E">
      <w:pPr>
        <w:pStyle w:val="4"/>
        <w:ind w:firstLine="640"/>
      </w:pPr>
      <w:r>
        <w:rPr>
          <w:rFonts w:hint="eastAsia"/>
        </w:rPr>
        <w:t>完善防疫防治体系</w:t>
      </w:r>
    </w:p>
    <w:p w14:paraId="74F4901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从体制机制上建立健全和完善重大疫情防控体系。完善医疗救治、科技支撑、物资保障措施，提高应对重大突发公共卫生事件的能力水平。深入实施公共卫生防控救治体系提升工程，于人民大道北侧设置</w:t>
      </w:r>
      <w:r>
        <w:rPr>
          <w:rFonts w:hint="eastAsia" w:ascii="仿宋" w:hAnsi="仿宋" w:eastAsia="仿宋" w:cs="仿宋_GB2312"/>
          <w:kern w:val="0"/>
          <w:szCs w:val="32"/>
          <w:shd w:val="clear" w:color="auto" w:fill="FFFFFF"/>
        </w:rPr>
        <w:t>崇阳</w:t>
      </w:r>
      <w:r>
        <w:rPr>
          <w:rFonts w:ascii="仿宋" w:hAnsi="仿宋" w:eastAsia="仿宋" w:cs="仿宋_GB2312"/>
          <w:kern w:val="0"/>
          <w:szCs w:val="32"/>
          <w:shd w:val="clear" w:color="auto" w:fill="FFFFFF"/>
        </w:rPr>
        <w:t>县疾控中心，加强重大传染病防治基础设施建设，提升软硬件水平，增强重大疫情医疗救治保障能力。</w:t>
      </w:r>
    </w:p>
    <w:p w14:paraId="3F735A3C">
      <w:pPr>
        <w:pStyle w:val="4"/>
        <w:ind w:firstLine="640"/>
      </w:pPr>
      <w:r>
        <w:rPr>
          <w:rFonts w:hint="eastAsia"/>
        </w:rPr>
        <w:t>防灾设施配置要求和空间安排</w:t>
      </w:r>
    </w:p>
    <w:p w14:paraId="3E3203B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加强县域层面防灾设施布局。县级及以上应急指挥中心一处，在各乡镇设置一处。县级及以上急救中心：规划设置</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处，主要为崇阳县人民医院。</w:t>
      </w:r>
      <w:r>
        <w:rPr>
          <w:rFonts w:ascii="仿宋" w:hAnsi="仿宋" w:eastAsia="仿宋" w:cs="仿宋_GB2312"/>
          <w:kern w:val="0"/>
          <w:szCs w:val="32"/>
          <w:shd w:val="clear" w:color="auto" w:fill="FFFFFF"/>
          <w:lang w:bidi="ar"/>
        </w:rPr>
        <w:t>县级及以上公共卫生中心：规划设置一处，为崇阳县疾控中心。县级及以上救灾物资储备库：规划设置</w:t>
      </w:r>
      <w:r>
        <w:rPr>
          <w:rFonts w:ascii="Times New Roman" w:hAnsi="Times New Roman" w:eastAsia="仿宋"/>
          <w:kern w:val="0"/>
          <w:szCs w:val="32"/>
          <w:shd w:val="clear" w:color="auto" w:fill="FFFFFF"/>
          <w:lang w:bidi="ar"/>
        </w:rPr>
        <w:t>1</w:t>
      </w:r>
      <w:r>
        <w:rPr>
          <w:rFonts w:ascii="仿宋" w:hAnsi="仿宋" w:eastAsia="仿宋" w:cs="仿宋_GB2312"/>
          <w:kern w:val="0"/>
          <w:szCs w:val="32"/>
          <w:shd w:val="clear" w:color="auto" w:fill="FFFFFF"/>
          <w:lang w:bidi="ar"/>
        </w:rPr>
        <w:t>处。位于中心城区。县级战勤和特勤消防站。在中心城区设置一处县级特勤消防站。</w:t>
      </w:r>
    </w:p>
    <w:p w14:paraId="48FE0018">
      <w:pPr>
        <w:widowControl/>
        <w:spacing w:line="560" w:lineRule="exact"/>
        <w:ind w:firstLine="200" w:firstLineChars="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lang w:bidi="ar"/>
        </w:rPr>
        <w:t>救灾干道</w:t>
      </w:r>
      <w:r>
        <w:rPr>
          <w:rFonts w:hint="eastAsia" w:ascii="仿宋" w:hAnsi="仿宋" w:eastAsia="仿宋" w:cs="仿宋_GB2312"/>
          <w:kern w:val="0"/>
          <w:szCs w:val="32"/>
          <w:shd w:val="clear" w:color="auto" w:fill="FFFFFF"/>
          <w:lang w:bidi="ar"/>
        </w:rPr>
        <w:t>规划。</w:t>
      </w:r>
      <w:r>
        <w:rPr>
          <w:rFonts w:ascii="仿宋" w:hAnsi="仿宋" w:eastAsia="仿宋" w:cs="仿宋_GB2312"/>
          <w:kern w:val="0"/>
          <w:szCs w:val="32"/>
          <w:shd w:val="clear" w:color="auto" w:fill="FFFFFF"/>
          <w:lang w:bidi="ar"/>
        </w:rPr>
        <w:t>将高速、国道、省道等设置为救灾干道。</w:t>
      </w:r>
    </w:p>
    <w:p w14:paraId="5700F11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中心城区层面防灾设施布局。规划县级应急指挥中心一处；县级以上急救中心一处；县级以上公共卫生中心一处；救灾物资储备库一处；特勤消防站一处；中心避难场所主要包括中小学、交通场站等区域；救援干道为城市主干道，疏散通道为中心城城区周边的杭瑞高速、咸崇高速、G</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、S</w:t>
      </w:r>
      <w:r>
        <w:rPr>
          <w:rFonts w:ascii="Times New Roman" w:hAnsi="Times New Roman" w:eastAsia="仿宋"/>
          <w:kern w:val="0"/>
          <w:szCs w:val="32"/>
          <w:shd w:val="clear" w:color="auto" w:fill="FFFFFF"/>
        </w:rPr>
        <w:t>319</w:t>
      </w:r>
      <w:r>
        <w:rPr>
          <w:rFonts w:ascii="仿宋" w:hAnsi="仿宋" w:eastAsia="仿宋" w:cs="仿宋_GB2312"/>
          <w:kern w:val="0"/>
          <w:szCs w:val="32"/>
          <w:shd w:val="clear" w:color="auto" w:fill="FFFFFF"/>
        </w:rPr>
        <w:t>、S</w:t>
      </w:r>
      <w:r>
        <w:rPr>
          <w:rFonts w:ascii="Times New Roman" w:hAnsi="Times New Roman" w:eastAsia="仿宋"/>
          <w:kern w:val="0"/>
          <w:szCs w:val="32"/>
          <w:shd w:val="clear" w:color="auto" w:fill="FFFFFF"/>
        </w:rPr>
        <w:t>246</w:t>
      </w:r>
      <w:r>
        <w:rPr>
          <w:rFonts w:ascii="仿宋" w:hAnsi="仿宋" w:eastAsia="仿宋" w:cs="仿宋_GB2312"/>
          <w:kern w:val="0"/>
          <w:szCs w:val="32"/>
          <w:shd w:val="clear" w:color="auto" w:fill="FFFFFF"/>
        </w:rPr>
        <w:t>等为主要疏散通道。防洪堤</w:t>
      </w:r>
      <w:r>
        <w:rPr>
          <w:rFonts w:hint="eastAsia" w:ascii="仿宋" w:hAnsi="仿宋" w:eastAsia="仿宋" w:cs="仿宋_GB2312"/>
          <w:kern w:val="0"/>
          <w:szCs w:val="32"/>
          <w:shd w:val="clear" w:color="auto" w:fill="FFFFFF"/>
        </w:rPr>
        <w:t>沿</w:t>
      </w:r>
      <w:r>
        <w:rPr>
          <w:rFonts w:ascii="仿宋" w:hAnsi="仿宋" w:eastAsia="仿宋" w:cs="仿宋_GB2312"/>
          <w:kern w:val="0"/>
          <w:szCs w:val="32"/>
          <w:shd w:val="clear" w:color="auto" w:fill="FFFFFF"/>
        </w:rPr>
        <w:t>隽水河设置防洪堤。</w:t>
      </w:r>
    </w:p>
    <w:p w14:paraId="349F5EDD">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092" w:name="_Toc3606"/>
      <w:bookmarkStart w:id="1093" w:name="_Toc25495"/>
      <w:bookmarkStart w:id="1094" w:name="_Toc20881"/>
      <w:bookmarkStart w:id="1095" w:name="_Toc11585"/>
      <w:bookmarkStart w:id="1096" w:name="_Toc23492"/>
      <w:bookmarkStart w:id="1097" w:name="_Toc8353"/>
      <w:bookmarkStart w:id="1098" w:name="_Toc63873640"/>
      <w:bookmarkStart w:id="1099" w:name="_Toc6306"/>
      <w:bookmarkStart w:id="1100" w:name="_Toc3486"/>
      <w:bookmarkStart w:id="1101" w:name="_Toc11807"/>
      <w:bookmarkStart w:id="1102" w:name="_Toc9503"/>
      <w:bookmarkStart w:id="1103" w:name="_Toc4137"/>
      <w:bookmarkStart w:id="1104" w:name="_Toc23210"/>
      <w:bookmarkStart w:id="1105" w:name="_Toc138867025"/>
      <w:bookmarkStart w:id="1106" w:name="_Toc30082"/>
      <w:bookmarkStart w:id="1107" w:name="_Toc5482"/>
      <w:bookmarkStart w:id="1108" w:name="_Toc3722"/>
      <w:bookmarkStart w:id="1109" w:name="_Toc4982"/>
      <w:bookmarkStart w:id="1110" w:name="_Toc8363"/>
      <w:bookmarkStart w:id="1111" w:name="_Toc138866923"/>
      <w:bookmarkStart w:id="1112" w:name="_Toc18787"/>
      <w:bookmarkStart w:id="1113" w:name="_Toc167"/>
      <w:bookmarkStart w:id="1114" w:name="_Toc1505"/>
      <w:bookmarkStart w:id="1115" w:name="_Toc6352"/>
      <w:bookmarkStart w:id="1116" w:name="_Toc9921"/>
      <w:bookmarkStart w:id="1117" w:name="_Toc14759"/>
      <w:r>
        <w:rPr>
          <w:rFonts w:hint="eastAsia" w:ascii="黑体" w:hAnsi="黑体" w:cs="黑体"/>
          <w:bCs w:val="0"/>
        </w:rPr>
        <w:t>第四节 中心城区综合防灾减灾规划</w:t>
      </w:r>
      <w:bookmarkEnd w:id="1092"/>
    </w:p>
    <w:p w14:paraId="6B8F16AD">
      <w:pPr>
        <w:pStyle w:val="4"/>
        <w:ind w:firstLine="640"/>
      </w:pPr>
      <w:r>
        <w:rPr>
          <w:rFonts w:hint="eastAsia"/>
        </w:rPr>
        <w:t>抗震防灾规划</w:t>
      </w:r>
    </w:p>
    <w:p w14:paraId="70AE6BB3">
      <w:pPr>
        <w:widowControl/>
        <w:spacing w:line="560" w:lineRule="exact"/>
        <w:ind w:firstLine="640"/>
        <w:jc w:val="both"/>
        <w:rPr>
          <w:rFonts w:ascii="仿宋" w:hAnsi="仿宋" w:eastAsia="仿宋" w:cs="仿宋_GB2312"/>
          <w:kern w:val="0"/>
          <w:szCs w:val="32"/>
          <w:u w:val="single"/>
          <w:shd w:val="clear" w:color="auto" w:fill="FFFFFF"/>
        </w:rPr>
      </w:pPr>
      <w:r>
        <w:rPr>
          <w:rFonts w:ascii="仿宋" w:hAnsi="仿宋" w:eastAsia="仿宋" w:cs="仿宋_GB2312"/>
          <w:kern w:val="0"/>
          <w:szCs w:val="32"/>
          <w:shd w:val="clear" w:color="auto" w:fill="FFFFFF"/>
        </w:rPr>
        <w:t>抗震设防标准。</w:t>
      </w:r>
      <w:r>
        <w:rPr>
          <w:rFonts w:ascii="仿宋" w:hAnsi="仿宋" w:eastAsia="仿宋" w:cs="仿宋_GB2312"/>
          <w:kern w:val="0"/>
          <w:szCs w:val="32"/>
          <w:u w:val="none"/>
          <w:shd w:val="clear" w:color="auto" w:fill="FFFFFF"/>
        </w:rPr>
        <w:t>中心城区按地震烈度</w:t>
      </w:r>
      <w:r>
        <w:rPr>
          <w:rFonts w:ascii="Times New Roman" w:hAnsi="Times New Roman" w:eastAsia="仿宋"/>
          <w:kern w:val="0"/>
          <w:szCs w:val="32"/>
          <w:u w:val="none"/>
          <w:shd w:val="clear" w:color="auto" w:fill="FFFFFF"/>
        </w:rPr>
        <w:t>6</w:t>
      </w:r>
      <w:r>
        <w:rPr>
          <w:rFonts w:ascii="仿宋" w:hAnsi="仿宋" w:eastAsia="仿宋" w:cs="仿宋_GB2312"/>
          <w:kern w:val="0"/>
          <w:szCs w:val="32"/>
          <w:u w:val="none"/>
          <w:shd w:val="clear" w:color="auto" w:fill="FFFFFF"/>
        </w:rPr>
        <w:t>度进行抗震设防。学校、医院等人员密集场所的建设工程，应当按照高于当地房屋建筑的抗震设防要求进行设计和施工，采取有效措施，增强抗震设防能力。</w:t>
      </w:r>
    </w:p>
    <w:p w14:paraId="2837185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区内供水、排水、交通、通信、燃气、医疗救护、消防等城市生命线系统。为提高生命线系统的抗震能力，各种管线的敷设应与人防建设相结合。中心城区内的建设工程必须进行地震安全性评价，根据评价结果进行抗震设防。</w:t>
      </w:r>
    </w:p>
    <w:p w14:paraId="28842E8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开展城市活动断层探测和动态监测，查明区域内崇阳-新宁断裂、塘口-白沙岭断裂的危险性水平，在城市规划、工程建设中采取地震活动断层主动避让。开展精细化地震灾害风险评估与区划，提升区域地震灾害风险防范能力和应急应对水平。建设重大风险源地震监测和安全预警平台，提高区域地震灾害风险感知能力。对区域内的</w:t>
      </w:r>
      <w:r>
        <w:rPr>
          <w:rFonts w:ascii="Times New Roman" w:hAnsi="Times New Roman" w:eastAsia="仿宋"/>
          <w:kern w:val="0"/>
          <w:szCs w:val="32"/>
          <w:shd w:val="clear" w:color="auto" w:fill="FFFFFF"/>
        </w:rPr>
        <w:t>160</w:t>
      </w:r>
      <w:r>
        <w:rPr>
          <w:rFonts w:ascii="仿宋" w:hAnsi="仿宋" w:eastAsia="仿宋" w:cs="仿宋_GB2312"/>
          <w:kern w:val="0"/>
          <w:szCs w:val="32"/>
          <w:shd w:val="clear" w:color="auto" w:fill="FFFFFF"/>
        </w:rPr>
        <w:t>米以上超高层建筑、桥隧、能源管网等城市重大基础设施和学校、医院、高风险生化实验室、高精密度生产园区等重点区域建设地震安全监测设施。</w:t>
      </w:r>
    </w:p>
    <w:p w14:paraId="5BC8261E">
      <w:pPr>
        <w:pStyle w:val="4"/>
        <w:ind w:firstLine="640"/>
      </w:pPr>
      <w:r>
        <w:rPr>
          <w:rFonts w:hint="eastAsia"/>
        </w:rPr>
        <w:t>建设防洪排涝体系</w:t>
      </w:r>
    </w:p>
    <w:p w14:paraId="6E2D380A">
      <w:pPr>
        <w:widowControl/>
        <w:spacing w:line="560" w:lineRule="exact"/>
        <w:ind w:firstLine="641" w:firstLineChars="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防洪标准。</w:t>
      </w:r>
      <w:r>
        <w:rPr>
          <w:rFonts w:hint="eastAsia" w:ascii="仿宋" w:hAnsi="仿宋" w:eastAsia="仿宋" w:cs="仿宋_GB2312"/>
          <w:kern w:val="0"/>
          <w:szCs w:val="32"/>
          <w:u w:val="none"/>
          <w:shd w:val="clear" w:color="auto" w:fill="FFFFFF"/>
        </w:rPr>
        <w:t>陆水干流崇阳县中心城区城区段防洪标准为</w:t>
      </w:r>
      <w:r>
        <w:rPr>
          <w:rFonts w:ascii="Times New Roman" w:hAnsi="Times New Roman" w:eastAsia="仿宋"/>
          <w:kern w:val="0"/>
          <w:szCs w:val="32"/>
          <w:u w:val="none"/>
          <w:shd w:val="clear" w:color="auto" w:fill="FFFFFF"/>
        </w:rPr>
        <w:t>20</w:t>
      </w:r>
      <w:r>
        <w:rPr>
          <w:rFonts w:hint="eastAsia" w:ascii="仿宋" w:hAnsi="仿宋" w:eastAsia="仿宋" w:cs="仿宋_GB2312"/>
          <w:kern w:val="0"/>
          <w:szCs w:val="32"/>
          <w:u w:val="none"/>
          <w:shd w:val="clear" w:color="auto" w:fill="FFFFFF"/>
        </w:rPr>
        <w:t>年一遇。</w:t>
      </w:r>
      <w:r>
        <w:rPr>
          <w:rFonts w:ascii="仿宋" w:hAnsi="仿宋" w:eastAsia="仿宋" w:cs="仿宋_GB2312"/>
          <w:kern w:val="0"/>
          <w:szCs w:val="32"/>
          <w:shd w:val="clear" w:color="auto" w:fill="FFFFFF"/>
        </w:rPr>
        <w:t>实施南门桥、三桥等提防点加固等工程；建立山洪灾害“四预”体系，结合自动雨量站、水位站实时数据，提升预警精准度；通过生态治理，强化隽水河生态环境，提高防洪安全保障，构建系统化防洪体系。</w:t>
      </w:r>
    </w:p>
    <w:p w14:paraId="071ADCDE">
      <w:pPr>
        <w:pStyle w:val="4"/>
        <w:ind w:firstLine="640"/>
      </w:pPr>
      <w:r>
        <w:rPr>
          <w:rFonts w:hint="eastAsia"/>
        </w:rPr>
        <w:t>消防规划</w:t>
      </w:r>
    </w:p>
    <w:p w14:paraId="03F57CD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消防站建设规划。规划建立县级的消防指挥中心</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处，指挥调度各消防队协同作战；建立战勤保障中心</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处，保障消防器材和后勤补给。消防站的布局应满足消防队从接警起</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分钟内到达火场的要求，按照普通消防站辖区面积不宜大于</w:t>
      </w:r>
      <w:r>
        <w:rPr>
          <w:rFonts w:ascii="Times New Roman" w:hAnsi="Times New Roman" w:eastAsia="仿宋"/>
          <w:kern w:val="0"/>
          <w:szCs w:val="32"/>
          <w:shd w:val="clear" w:color="auto" w:fill="FFFFFF"/>
        </w:rPr>
        <w:t>7</w:t>
      </w:r>
      <w:r>
        <w:rPr>
          <w:rFonts w:ascii="仿宋" w:hAnsi="仿宋" w:eastAsia="仿宋" w:cs="仿宋_GB2312"/>
          <w:kern w:val="0"/>
          <w:szCs w:val="32"/>
          <w:shd w:val="clear" w:color="auto" w:fill="FFFFFF"/>
        </w:rPr>
        <w:t>平方公里；近郊区的普通消防站辖区面积不应大于</w:t>
      </w:r>
      <w:r>
        <w:rPr>
          <w:rFonts w:ascii="Times New Roman" w:hAnsi="Times New Roman" w:eastAsia="仿宋"/>
          <w:kern w:val="0"/>
          <w:szCs w:val="32"/>
          <w:shd w:val="clear" w:color="auto" w:fill="FFFFFF"/>
        </w:rPr>
        <w:t>15</w:t>
      </w:r>
      <w:r>
        <w:rPr>
          <w:rFonts w:ascii="仿宋" w:hAnsi="仿宋" w:eastAsia="仿宋" w:cs="仿宋_GB2312"/>
          <w:kern w:val="0"/>
          <w:szCs w:val="32"/>
          <w:shd w:val="clear" w:color="auto" w:fill="FFFFFF"/>
        </w:rPr>
        <w:t>平方公里，完善中心城区和各乡镇的消防站点布局。规划中心城区设置一级普通消防站</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处。</w:t>
      </w:r>
    </w:p>
    <w:p w14:paraId="41607E4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消防水源以城市市政给水管网供水为主，采用生活－消防统一供水系统，消防采用低压制。设置消火栓的市政供水干管管径不小于DN</w:t>
      </w:r>
      <w:r>
        <w:rPr>
          <w:rFonts w:ascii="Times New Roman" w:hAnsi="Times New Roman" w:eastAsia="仿宋"/>
          <w:kern w:val="0"/>
          <w:szCs w:val="32"/>
          <w:shd w:val="clear" w:color="auto" w:fill="FFFFFF"/>
        </w:rPr>
        <w:t>150</w:t>
      </w:r>
      <w:r>
        <w:rPr>
          <w:rFonts w:ascii="仿宋" w:hAnsi="仿宋" w:eastAsia="仿宋" w:cs="仿宋_GB2312"/>
          <w:kern w:val="0"/>
          <w:szCs w:val="32"/>
          <w:shd w:val="clear" w:color="auto" w:fill="FFFFFF"/>
        </w:rPr>
        <w:t>，确保水量、水压满足要求，消防用水按同时发生</w:t>
      </w:r>
      <w:r>
        <w:rPr>
          <w:rFonts w:ascii="Times New Roman" w:hAnsi="Times New Roman" w:eastAsia="仿宋"/>
          <w:kern w:val="0"/>
          <w:szCs w:val="32"/>
          <w:shd w:val="clear" w:color="auto" w:fill="FFFFFF"/>
        </w:rPr>
        <w:t>2</w:t>
      </w:r>
      <w:r>
        <w:rPr>
          <w:rFonts w:ascii="仿宋" w:hAnsi="仿宋" w:eastAsia="仿宋" w:cs="仿宋_GB2312"/>
          <w:kern w:val="0"/>
          <w:szCs w:val="32"/>
          <w:shd w:val="clear" w:color="auto" w:fill="FFFFFF"/>
        </w:rPr>
        <w:t>次火灾事故考虑。</w:t>
      </w:r>
    </w:p>
    <w:p w14:paraId="0B636EE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高层建筑、大型商场等消防用水量大的建筑应修筑人工水池确保消防用水。</w:t>
      </w:r>
    </w:p>
    <w:p w14:paraId="5EAE36FA">
      <w:pPr>
        <w:widowControl/>
        <w:spacing w:line="560" w:lineRule="exact"/>
        <w:ind w:firstLine="640"/>
        <w:jc w:val="both"/>
        <w:rPr>
          <w:rFonts w:ascii="仿宋" w:hAnsi="仿宋" w:eastAsia="仿宋" w:cs="仿宋_GB2312"/>
          <w:kern w:val="0"/>
          <w:szCs w:val="32"/>
          <w:shd w:val="clear" w:color="auto" w:fill="FFFFFF"/>
          <w:lang w:bidi="ar"/>
        </w:rPr>
      </w:pPr>
      <w:r>
        <w:rPr>
          <w:rFonts w:ascii="仿宋" w:hAnsi="仿宋" w:eastAsia="仿宋" w:cs="仿宋_GB2312"/>
          <w:kern w:val="0"/>
          <w:szCs w:val="32"/>
          <w:shd w:val="clear" w:color="auto" w:fill="FFFFFF"/>
        </w:rPr>
        <w:t>消防通道。消防通道结合城市道路和河道布置。紧密结合城市道路交通规划，以城市规划快速路、主干路、次干路、支路为主要消防车通道，并划分为一级、二级消防通道，同时在城市规划建设中严格控制次一级消防车通道。当建筑沿街部分超过</w:t>
      </w:r>
      <w:r>
        <w:rPr>
          <w:rFonts w:ascii="Times New Roman" w:hAnsi="Times New Roman" w:eastAsia="仿宋"/>
          <w:kern w:val="0"/>
          <w:szCs w:val="32"/>
          <w:shd w:val="clear" w:color="auto" w:fill="FFFFFF"/>
        </w:rPr>
        <w:t>150</w:t>
      </w:r>
      <w:r>
        <w:rPr>
          <w:rFonts w:ascii="仿宋" w:hAnsi="仿宋" w:eastAsia="仿宋" w:cs="仿宋_GB2312"/>
          <w:kern w:val="0"/>
          <w:szCs w:val="32"/>
          <w:shd w:val="clear" w:color="auto" w:fill="FFFFFF"/>
        </w:rPr>
        <w:t>米或总长度超过</w:t>
      </w:r>
      <w:r>
        <w:rPr>
          <w:rFonts w:ascii="Times New Roman" w:hAnsi="Times New Roman" w:eastAsia="仿宋"/>
          <w:kern w:val="0"/>
          <w:szCs w:val="32"/>
          <w:shd w:val="clear" w:color="auto" w:fill="FFFFFF"/>
        </w:rPr>
        <w:t>220</w:t>
      </w:r>
      <w:r>
        <w:rPr>
          <w:rFonts w:ascii="仿宋" w:hAnsi="仿宋" w:eastAsia="仿宋" w:cs="仿宋_GB2312"/>
          <w:kern w:val="0"/>
          <w:szCs w:val="32"/>
          <w:shd w:val="clear" w:color="auto" w:fill="FFFFFF"/>
        </w:rPr>
        <w:t>米时，均应设置消防通道。消防通道成环状或在终端建设回车场地，道路宽度不宜小于</w:t>
      </w:r>
      <w:r>
        <w:rPr>
          <w:rFonts w:ascii="Times New Roman" w:hAnsi="Times New Roman" w:eastAsia="仿宋"/>
          <w:kern w:val="0"/>
          <w:szCs w:val="32"/>
          <w:shd w:val="clear" w:color="auto" w:fill="FFFFFF"/>
        </w:rPr>
        <w:t>4</w:t>
      </w:r>
      <w:r>
        <w:rPr>
          <w:rFonts w:ascii="仿宋" w:hAnsi="仿宋" w:eastAsia="仿宋" w:cs="仿宋_GB2312"/>
          <w:kern w:val="0"/>
          <w:szCs w:val="32"/>
          <w:shd w:val="clear" w:color="auto" w:fill="FFFFFF"/>
        </w:rPr>
        <w:t>米，转弯半径不宜小于</w:t>
      </w:r>
      <w:r>
        <w:rPr>
          <w:rFonts w:ascii="Times New Roman" w:hAnsi="Times New Roman" w:eastAsia="仿宋"/>
          <w:kern w:val="0"/>
          <w:szCs w:val="32"/>
          <w:shd w:val="clear" w:color="auto" w:fill="FFFFFF"/>
        </w:rPr>
        <w:t>9</w:t>
      </w:r>
      <w:r>
        <w:rPr>
          <w:rFonts w:ascii="仿宋" w:hAnsi="仿宋" w:eastAsia="仿宋" w:cs="仿宋_GB2312"/>
          <w:kern w:val="0"/>
          <w:szCs w:val="32"/>
          <w:shd w:val="clear" w:color="auto" w:fill="FFFFFF"/>
        </w:rPr>
        <w:t>米，回车场地不小于</w:t>
      </w:r>
      <w:r>
        <w:rPr>
          <w:rFonts w:ascii="Times New Roman" w:hAnsi="Times New Roman" w:eastAsia="仿宋"/>
          <w:kern w:val="0"/>
          <w:szCs w:val="32"/>
          <w:shd w:val="clear" w:color="auto" w:fill="FFFFFF"/>
        </w:rPr>
        <w:t>12</w:t>
      </w:r>
      <w:r>
        <w:rPr>
          <w:rFonts w:ascii="仿宋" w:hAnsi="仿宋" w:eastAsia="仿宋" w:cs="仿宋_GB2312"/>
          <w:kern w:val="0"/>
          <w:szCs w:val="32"/>
          <w:shd w:val="clear" w:color="auto" w:fill="FFFFFF"/>
        </w:rPr>
        <w:t>米×</w:t>
      </w:r>
      <w:r>
        <w:rPr>
          <w:rFonts w:ascii="Times New Roman" w:hAnsi="Times New Roman" w:eastAsia="仿宋"/>
          <w:kern w:val="0"/>
          <w:szCs w:val="32"/>
          <w:shd w:val="clear" w:color="auto" w:fill="FFFFFF"/>
        </w:rPr>
        <w:t>12</w:t>
      </w:r>
      <w:r>
        <w:rPr>
          <w:rFonts w:ascii="仿宋" w:hAnsi="仿宋" w:eastAsia="仿宋" w:cs="仿宋_GB2312"/>
          <w:kern w:val="0"/>
          <w:szCs w:val="32"/>
          <w:shd w:val="clear" w:color="auto" w:fill="FFFFFF"/>
        </w:rPr>
        <w:t>米，通道上方障碍物的净空高度不应小于</w:t>
      </w:r>
      <w:r>
        <w:rPr>
          <w:rFonts w:ascii="Times New Roman" w:hAnsi="Times New Roman" w:eastAsia="仿宋"/>
          <w:kern w:val="0"/>
          <w:szCs w:val="32"/>
          <w:shd w:val="clear" w:color="auto" w:fill="FFFFFF"/>
        </w:rPr>
        <w:t>5</w:t>
      </w:r>
      <w:r>
        <w:rPr>
          <w:rFonts w:ascii="仿宋" w:hAnsi="仿宋" w:eastAsia="仿宋" w:cs="仿宋_GB2312"/>
          <w:kern w:val="0"/>
          <w:szCs w:val="32"/>
          <w:shd w:val="clear" w:color="auto" w:fill="FFFFFF"/>
        </w:rPr>
        <w:t>米。消防供水应充分利用天然水源，在主要河道设置消防取水口。</w:t>
      </w:r>
    </w:p>
    <w:p w14:paraId="66241A47">
      <w:pPr>
        <w:pStyle w:val="4"/>
        <w:ind w:firstLine="640"/>
      </w:pPr>
      <w:r>
        <w:rPr>
          <w:rFonts w:hint="eastAsia"/>
        </w:rPr>
        <w:t>防灾减灾体系规划</w:t>
      </w:r>
    </w:p>
    <w:p w14:paraId="4061670A">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规划设置城市抗震救灾指挥中心</w:t>
      </w:r>
      <w:r>
        <w:rPr>
          <w:rFonts w:ascii="Times New Roman" w:hAnsi="Times New Roman" w:eastAsia="仿宋"/>
          <w:kern w:val="0"/>
          <w:szCs w:val="32"/>
          <w:shd w:val="clear" w:color="auto" w:fill="FFFFFF"/>
        </w:rPr>
        <w:t>1</w:t>
      </w:r>
      <w:r>
        <w:rPr>
          <w:rFonts w:ascii="仿宋" w:hAnsi="仿宋" w:eastAsia="仿宋" w:cs="仿宋_GB2312"/>
          <w:kern w:val="0"/>
          <w:szCs w:val="32"/>
          <w:shd w:val="clear" w:color="auto" w:fill="FFFFFF"/>
        </w:rPr>
        <w:t>处，位于县应急管理局，负责抗震救灾的指挥工作。</w:t>
      </w:r>
    </w:p>
    <w:p w14:paraId="3415067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规划中心城区主要道路作为疏散通道，包括人民大道、天城大道、电力大道、香山大道、金城大道、杭瑞高速等。</w:t>
      </w:r>
    </w:p>
    <w:p w14:paraId="039C9A7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避震疏散场地应本着就近、安全、方便的原则布置。紧急避震疏散场所的服务半径为</w:t>
      </w:r>
      <w:r>
        <w:rPr>
          <w:rFonts w:ascii="Times New Roman" w:hAnsi="Times New Roman" w:eastAsia="仿宋"/>
          <w:kern w:val="0"/>
          <w:szCs w:val="32"/>
          <w:shd w:val="clear" w:color="auto" w:fill="FFFFFF"/>
        </w:rPr>
        <w:t>500</w:t>
      </w:r>
      <w:r>
        <w:rPr>
          <w:rFonts w:ascii="仿宋" w:hAnsi="仿宋" w:eastAsia="仿宋" w:cs="仿宋_GB2312"/>
          <w:kern w:val="0"/>
          <w:szCs w:val="32"/>
          <w:shd w:val="clear" w:color="auto" w:fill="FFFFFF"/>
        </w:rPr>
        <w:t>米，以居住区中心绿地、小型广场、小学等空旷场地为主；固定避震疏散场所的服务半径为</w:t>
      </w:r>
      <w:r>
        <w:rPr>
          <w:rFonts w:ascii="Times New Roman" w:hAnsi="Times New Roman" w:eastAsia="仿宋"/>
          <w:kern w:val="0"/>
          <w:szCs w:val="32"/>
          <w:shd w:val="clear" w:color="auto" w:fill="FFFFFF"/>
        </w:rPr>
        <w:t>2</w:t>
      </w:r>
      <w:r>
        <w:rPr>
          <w:rFonts w:ascii="仿宋" w:hAnsi="仿宋" w:eastAsia="仿宋" w:cs="仿宋_GB2312"/>
          <w:kern w:val="0"/>
          <w:szCs w:val="32"/>
          <w:shd w:val="clear" w:color="auto" w:fill="FFFFFF"/>
        </w:rPr>
        <w:t>—</w:t>
      </w:r>
      <w:r>
        <w:rPr>
          <w:rFonts w:ascii="Times New Roman" w:hAnsi="Times New Roman" w:eastAsia="仿宋"/>
          <w:kern w:val="0"/>
          <w:szCs w:val="32"/>
          <w:shd w:val="clear" w:color="auto" w:fill="FFFFFF"/>
        </w:rPr>
        <w:t>3</w:t>
      </w:r>
      <w:r>
        <w:rPr>
          <w:rFonts w:ascii="仿宋" w:hAnsi="仿宋" w:eastAsia="仿宋" w:cs="仿宋_GB2312"/>
          <w:kern w:val="0"/>
          <w:szCs w:val="32"/>
          <w:shd w:val="clear" w:color="auto" w:fill="FFFFFF"/>
        </w:rPr>
        <w:t>千米，以城市公园、广场、中学等场地为主。</w:t>
      </w:r>
    </w:p>
    <w:p w14:paraId="41FB864C">
      <w:pPr>
        <w:pStyle w:val="4"/>
        <w:ind w:firstLine="640"/>
      </w:pPr>
      <w:r>
        <w:rPr>
          <w:rFonts w:hint="eastAsia"/>
        </w:rPr>
        <w:t>危险品风险防控</w:t>
      </w:r>
    </w:p>
    <w:p w14:paraId="6CCF2CF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对化学危险品项目的用地选址的管控，落实新建、改建、扩建重大危险源评估工作，优化油气库、液化气罐储站和加油加气站等设施布局，明确周边区域的空间隔离，制定距离城镇集中建设区易燃易爆危险品生产，储存企业生产、存储点分期分批搬迁计划，采取有效保护、隔离措施。压实企业安全生产主体责任，推动重大危险源排查治理与重大安全风险防控常态化。</w:t>
      </w:r>
    </w:p>
    <w:p w14:paraId="06750706">
      <w:pPr>
        <w:ind w:firstLine="0" w:firstLineChars="0"/>
        <w:rPr>
          <w:rFonts w:ascii="黑体" w:hAnsi="黑体" w:eastAsia="黑体" w:cs="方正小标宋_GBK"/>
          <w:bCs/>
          <w:sz w:val="36"/>
          <w:szCs w:val="36"/>
        </w:rPr>
      </w:pPr>
    </w:p>
    <w:p w14:paraId="202F0BCC">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bookmarkStart w:id="1118" w:name="_Toc26620"/>
      <w:r>
        <w:rPr>
          <w:rFonts w:ascii="黑体" w:hAnsi="黑体" w:eastAsia="黑体" w:cs="方正小标宋_GBK"/>
          <w:bCs w:val="0"/>
          <w:szCs w:val="36"/>
        </w:rPr>
        <w:br w:type="page"/>
      </w:r>
      <w:r>
        <w:rPr>
          <w:rFonts w:hint="eastAsia" w:ascii="黑体" w:hAnsi="黑体" w:eastAsia="黑体" w:cs="方正小标宋_GBK"/>
          <w:bCs w:val="0"/>
          <w:szCs w:val="36"/>
        </w:rPr>
        <w:t>第十一章 国土空间区域协同发展</w:t>
      </w:r>
      <w:bookmarkEnd w:id="1118"/>
    </w:p>
    <w:p w14:paraId="31BA84A0">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119" w:name="_Toc26952"/>
      <w:r>
        <w:rPr>
          <w:rFonts w:hint="eastAsia" w:ascii="黑体" w:hAnsi="黑体" w:cs="黑体"/>
          <w:bCs w:val="0"/>
        </w:rPr>
        <w:t>第一节 积极融入武汉都市圈发展</w:t>
      </w:r>
      <w:bookmarkEnd w:id="1119"/>
    </w:p>
    <w:p w14:paraId="21A705A3">
      <w:pPr>
        <w:widowControl/>
        <w:ind w:left="143"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大力实施区域联动战略，整体提升支点的区域协同力。借助咸宁市在武汉都市圈的战略区位优势，立足长远发展，崇阳县凭借几何中心区域优势，强化崇阳县交通枢纽功能，全力推进轨道交通建设提速，加快铁路的建设，补充崇阳县轨道交通缺失的短板，突出产业转移承接、旅游合作与生态共保，促进区域融合发展。</w:t>
      </w:r>
    </w:p>
    <w:p w14:paraId="624C2FD1">
      <w:pPr>
        <w:pStyle w:val="4"/>
        <w:ind w:firstLine="640"/>
      </w:pPr>
      <w:r>
        <w:rPr>
          <w:rFonts w:hint="eastAsia"/>
        </w:rPr>
        <w:t>强化产业协同，积极共建创新发展走廊。</w:t>
      </w:r>
    </w:p>
    <w:p w14:paraId="4508FD86">
      <w:pPr>
        <w:widowControl/>
        <w:spacing w:line="560" w:lineRule="exact"/>
        <w:ind w:firstLine="640"/>
        <w:jc w:val="both"/>
        <w:rPr>
          <w:rFonts w:ascii="仿宋" w:hAnsi="仿宋" w:eastAsia="仿宋" w:cs="仿宋_GB2312"/>
          <w:kern w:val="0"/>
          <w:szCs w:val="32"/>
          <w:shd w:val="clear" w:color="auto" w:fill="FFFFFF"/>
        </w:rPr>
      </w:pPr>
      <w:bookmarkStart w:id="1120" w:name="OLE_LINK27"/>
      <w:bookmarkStart w:id="1121" w:name="OLE_LINK26"/>
      <w:r>
        <w:rPr>
          <w:rFonts w:ascii="仿宋" w:hAnsi="仿宋" w:eastAsia="仿宋" w:cs="仿宋_GB2312"/>
          <w:kern w:val="0"/>
          <w:szCs w:val="32"/>
          <w:shd w:val="clear" w:color="auto" w:fill="FFFFFF"/>
        </w:rPr>
        <w:t>聚焦发展新兴产业，以医药卫材、机械电子、绿色钒产品精加工为主导产业，带动全县绿色新兴产业的发展。主动融入咸宁市产业发展战略，与武咸发展轴融合发展，向北联动赤壁、咸安、嘉鱼协同发展，提升面向武汉及咸宁的产业承接功能，主动融入光谷科创大走廊，建设咸宁（武汉）离岸科创园（崇阳分园），打造科创“飞地”，建设崇阳创新极。围绕崇阳生态优势，结合“养在咸宁”工程，挖掘金沙片区、森林公园、湿地公园等康养资源，吸引全国各地人群来崇康养旅游。</w:t>
      </w:r>
    </w:p>
    <w:bookmarkEnd w:id="1120"/>
    <w:bookmarkEnd w:id="1121"/>
    <w:p w14:paraId="26E831B4">
      <w:pPr>
        <w:pStyle w:val="4"/>
        <w:ind w:firstLine="640"/>
      </w:pPr>
      <w:r>
        <w:rPr>
          <w:rFonts w:hint="eastAsia"/>
        </w:rPr>
        <w:t>强化交通协同，构建武汉都市圈一体化交通网络体系</w:t>
      </w:r>
    </w:p>
    <w:p w14:paraId="045054E1">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强化对外联通，建设立体互通快速网。构建崇阳县对外交通走廊，推进对外交通重大项目建设，加快推进国家中长期铁路规划中的“八横八纵”项目武汉至南昌铁路建设。提升区域公路通达能力，加密高速公路骨干路网。</w:t>
      </w:r>
    </w:p>
    <w:p w14:paraId="0B9C2BB6">
      <w:pPr>
        <w:pStyle w:val="4"/>
        <w:ind w:firstLine="640"/>
      </w:pPr>
      <w:r>
        <w:rPr>
          <w:rFonts w:hint="eastAsia"/>
        </w:rPr>
        <w:t>强化生态协同，共护共治蓝绿空间</w:t>
      </w:r>
    </w:p>
    <w:p w14:paraId="222FF33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践行“绿水青山就是金山银山”理念，保护幕阜山生态环境，强化幕阜山脉保护和生态修复，夯实幕阜山区域绿色发展生态本底，加强湖北崇阳国家森林自然公园、湖北崇阳青山国家湿地自然公园、湖北崇阳雨山国家石漠自然公园、崇阳浪口省级湿地自然公园等森林资源和生物多样性的保护力度；注重水源涵养地建设，积极创建国家“绿水青山就是金山银山”实践创新基地，联动通山县、通城县、修水县等相邻地区实现生态共护共治，保障湖北省鄂东南生态安全屏障。</w:t>
      </w:r>
    </w:p>
    <w:p w14:paraId="486DDE9C">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122" w:name="_Toc32474"/>
      <w:r>
        <w:rPr>
          <w:rFonts w:hint="eastAsia" w:ascii="黑体" w:hAnsi="黑体" w:cs="黑体"/>
          <w:bCs w:val="0"/>
        </w:rPr>
        <w:t>第二节 加强县市区域合作，协同咸宁市域发展</w:t>
      </w:r>
      <w:bookmarkEnd w:id="1122"/>
    </w:p>
    <w:p w14:paraId="7FCA2011">
      <w:pPr>
        <w:pStyle w:val="4"/>
        <w:ind w:firstLine="640"/>
      </w:pPr>
      <w:r>
        <w:rPr>
          <w:rFonts w:hint="eastAsia"/>
        </w:rPr>
        <w:t>推进咸宁市域基础设施共建</w:t>
      </w:r>
    </w:p>
    <w:p w14:paraId="09B963B5">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大力实施枢纽提能战略，整体提升支点的开放辐射力。推进与咸宁市域基础设施互联互通，加快建设咸岳城际、咸宁至崇阳高速、通城至修水高速等铁路、高速公路设施建设，提升崇阳县与咸宁市域各县市区的快速通达能力。</w:t>
      </w:r>
    </w:p>
    <w:p w14:paraId="798F4CF3">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积极融入区域能源基础设施建设，发展风力发电、太阳能发电、水能发电等新能源发电资源。构建咸宁-嘉鱼-赤壁和通山-崇阳两条光伏产业分布带。实现区域能源资源共享。</w:t>
      </w:r>
    </w:p>
    <w:p w14:paraId="720AE68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协同区域邻避基础设施建设，加强区域垃圾末端处理能力，加强区域协调与共建共享。</w:t>
      </w:r>
    </w:p>
    <w:p w14:paraId="6B9C2FE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加强区域水利基础设施建设，统筹建设重点水源工程，保障区域供水能力。</w:t>
      </w:r>
    </w:p>
    <w:p w14:paraId="594B5DD3">
      <w:pPr>
        <w:pStyle w:val="4"/>
        <w:ind w:firstLine="640"/>
      </w:pPr>
      <w:r>
        <w:rPr>
          <w:rFonts w:hint="eastAsia"/>
        </w:rPr>
        <w:t>实现咸宁市域产业融合发展</w:t>
      </w:r>
    </w:p>
    <w:p w14:paraId="195B366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主动融入咸宁市产业发展战略，与武咸发展轴融合发展，向北联动赤壁、咸安、嘉鱼协同发展，提升面向武汉及咸宁的产业承接功能，建设咸宁（武汉）离岸科创园（崇阳分园）。</w:t>
      </w:r>
    </w:p>
    <w:p w14:paraId="6F6BEA6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开展南三县区域旅游合作，建立与通山通城特色旅游合作平台，促进南三县旅游协同发展。建立县际协作机制，加强开展三县合作，发挥清洁能源、绿色产业、特色农产品等产业优势，积极融合区域商贸组织，推动商贸物流发展。</w:t>
      </w:r>
    </w:p>
    <w:p w14:paraId="40814B6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发挥区位优势，联结幕阜山区特色产业协调发展。落实上位规划幕阜山特色资源绿色开发产业带的指引，以绿色发展为核心，发挥比较优势，加快风力发电、光伏发电等项目实施，突出清洁能源发展优势，依托国家森林公园、湿地公园等生态本底，提供生态供给，促进生态休闲康养旅游服务功能完善，突显崇阳绿色特色产业优势，打造成为咸宁市特色产业增长极，与通山、通城构建幕阜山特色产业带。</w:t>
      </w:r>
    </w:p>
    <w:p w14:paraId="44E7BB90">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123" w:name="_Toc24185"/>
      <w:r>
        <w:rPr>
          <w:rFonts w:hint="eastAsia" w:ascii="黑体" w:hAnsi="黑体" w:cs="黑体"/>
          <w:bCs w:val="0"/>
        </w:rPr>
        <w:t>第三节 加强融入湘鄂赣省际协调发展</w:t>
      </w:r>
      <w:bookmarkEnd w:id="1123"/>
    </w:p>
    <w:p w14:paraId="03E96764">
      <w:pPr>
        <w:pStyle w:val="4"/>
        <w:ind w:firstLine="640"/>
      </w:pPr>
      <w:r>
        <w:rPr>
          <w:rFonts w:hint="eastAsia"/>
        </w:rPr>
        <w:t>推进基础设施共建</w:t>
      </w:r>
    </w:p>
    <w:p w14:paraId="4D557B6E">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推进与三省交汇城市的基础设施互联互通，加快建设铁路、高速公路设施建设，提升三省交汇城市的快速通达能力。</w:t>
      </w:r>
    </w:p>
    <w:p w14:paraId="7173E315">
      <w:pPr>
        <w:pStyle w:val="4"/>
        <w:ind w:firstLine="640"/>
      </w:pPr>
      <w:r>
        <w:rPr>
          <w:rFonts w:hint="eastAsia"/>
        </w:rPr>
        <w:t>实现湘鄂赣产业融合发展</w:t>
      </w:r>
    </w:p>
    <w:p w14:paraId="1D3F5459">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开展区域旅游合作，建立三省特色旅游合作平台，促进湘鄂赣省际旅游协同发展。建立省际区域协作机制，加强开展边贸多方合作，发挥清洁能源、绿色产业、特色农产品等产业优势，积极融合区域商贸组织，推动商贸物流发展。</w:t>
      </w:r>
    </w:p>
    <w:p w14:paraId="007AE63E">
      <w:pPr>
        <w:widowControl/>
        <w:autoSpaceDE w:val="0"/>
        <w:autoSpaceDN w:val="0"/>
        <w:spacing w:before="624" w:beforeLines="200" w:line="240" w:lineRule="auto"/>
        <w:ind w:firstLine="0" w:firstLineChars="0"/>
        <w:rPr>
          <w:rFonts w:ascii="黑体" w:hAnsi="黑体" w:eastAsia="黑体" w:cs="方正小标宋_GBK"/>
          <w:sz w:val="36"/>
          <w:szCs w:val="36"/>
        </w:rPr>
      </w:pPr>
    </w:p>
    <w:p w14:paraId="5D51D045">
      <w:pPr>
        <w:rPr>
          <w:rFonts w:hint="eastAsia" w:ascii="黑体" w:hAnsi="黑体" w:eastAsia="黑体" w:cs="方正小标宋_GBK"/>
          <w:bCs w:val="0"/>
          <w:szCs w:val="36"/>
        </w:rPr>
      </w:pPr>
      <w:bookmarkStart w:id="1124" w:name="_Toc22667"/>
      <w:r>
        <w:rPr>
          <w:rFonts w:hint="eastAsia" w:ascii="黑体" w:hAnsi="黑体" w:eastAsia="黑体" w:cs="方正小标宋_GBK"/>
          <w:bCs w:val="0"/>
          <w:szCs w:val="36"/>
        </w:rPr>
        <w:br w:type="page"/>
      </w:r>
    </w:p>
    <w:p w14:paraId="3F2315CA">
      <w:pPr>
        <w:pStyle w:val="2"/>
        <w:keepNext w:val="0"/>
        <w:widowControl/>
        <w:tabs>
          <w:tab w:val="left" w:leader="dot" w:pos="8295"/>
        </w:tabs>
        <w:autoSpaceDE w:val="0"/>
        <w:autoSpaceDN w:val="0"/>
        <w:spacing w:before="624" w:beforeLines="200" w:after="0" w:line="240" w:lineRule="auto"/>
        <w:rPr>
          <w:rFonts w:ascii="黑体" w:hAnsi="黑体" w:eastAsia="黑体" w:cs="方正小标宋_GBK"/>
          <w:bCs w:val="0"/>
          <w:szCs w:val="36"/>
        </w:rPr>
      </w:pPr>
      <w:r>
        <w:rPr>
          <w:rFonts w:hint="eastAsia" w:ascii="黑体" w:hAnsi="黑体" w:eastAsia="黑体" w:cs="方正小标宋_GBK"/>
          <w:bCs w:val="0"/>
          <w:szCs w:val="36"/>
        </w:rPr>
        <w:t>第十二章 规划实施保障</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24"/>
    </w:p>
    <w:p w14:paraId="5F0E08CC">
      <w:pPr>
        <w:pStyle w:val="3"/>
        <w:keepNext w:val="0"/>
        <w:keepLines w:val="0"/>
        <w:widowControl/>
        <w:tabs>
          <w:tab w:val="left" w:leader="dot" w:pos="8295"/>
        </w:tabs>
        <w:autoSpaceDE w:val="0"/>
        <w:autoSpaceDN w:val="0"/>
        <w:spacing w:before="312" w:beforeLines="100" w:after="0" w:line="240" w:lineRule="auto"/>
        <w:rPr>
          <w:rFonts w:ascii="黑体" w:hAnsi="黑体" w:cs="黑体"/>
          <w:bCs w:val="0"/>
        </w:rPr>
      </w:pPr>
      <w:bookmarkStart w:id="1125" w:name="_Toc27030"/>
      <w:bookmarkStart w:id="1126" w:name="_Toc13559"/>
      <w:bookmarkStart w:id="1127" w:name="_Toc11065"/>
      <w:bookmarkStart w:id="1128" w:name="_Toc29738"/>
      <w:bookmarkStart w:id="1129" w:name="_Toc29113"/>
      <w:bookmarkStart w:id="1130" w:name="_Toc373"/>
      <w:bookmarkStart w:id="1131" w:name="_Toc9837"/>
      <w:bookmarkStart w:id="1132" w:name="_Toc19708"/>
      <w:bookmarkStart w:id="1133" w:name="_Toc30777"/>
      <w:bookmarkStart w:id="1134" w:name="_Toc10638"/>
      <w:bookmarkStart w:id="1135" w:name="_Toc138866924"/>
      <w:bookmarkStart w:id="1136" w:name="_Toc20613"/>
      <w:bookmarkStart w:id="1137" w:name="_Toc23040"/>
      <w:bookmarkStart w:id="1138" w:name="_Toc15663"/>
      <w:bookmarkStart w:id="1139" w:name="_Toc15898"/>
      <w:bookmarkStart w:id="1140" w:name="_Toc8004"/>
      <w:bookmarkStart w:id="1141" w:name="_Toc6608"/>
      <w:bookmarkStart w:id="1142" w:name="_Toc3051"/>
      <w:bookmarkStart w:id="1143" w:name="_Toc154"/>
      <w:bookmarkStart w:id="1144" w:name="_Toc15281"/>
      <w:bookmarkStart w:id="1145" w:name="_Toc7264"/>
      <w:bookmarkStart w:id="1146" w:name="_Toc14483"/>
      <w:bookmarkStart w:id="1147" w:name="_Toc11954"/>
      <w:bookmarkStart w:id="1148" w:name="_Toc138867026"/>
      <w:bookmarkStart w:id="1149" w:name="_Toc17780"/>
      <w:bookmarkStart w:id="1150" w:name="_Toc63873635"/>
      <w:bookmarkStart w:id="1151" w:name="_Toc63873641"/>
      <w:r>
        <w:rPr>
          <w:rFonts w:hint="eastAsia" w:ascii="黑体" w:hAnsi="黑体" w:cs="黑体"/>
          <w:bCs w:val="0"/>
        </w:rPr>
        <w:t>第一节 加强党的领导</w:t>
      </w:r>
      <w:bookmarkEnd w:id="1125"/>
      <w:bookmarkEnd w:id="1126"/>
      <w:bookmarkEnd w:id="1127"/>
      <w:bookmarkEnd w:id="1128"/>
      <w:bookmarkEnd w:id="1129"/>
      <w:bookmarkEnd w:id="1130"/>
      <w:bookmarkEnd w:id="1131"/>
    </w:p>
    <w:p w14:paraId="423B72F8">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党对国土空间规划工作的全面领导，明确规划权威，强化规划传导，完善配套政策机制，建立健全规划实施监督机制，实施全生命周期管理，扩大公众参与度，形成规划实施合力，确保规划目标任务得到落实。</w:t>
      </w:r>
    </w:p>
    <w:p w14:paraId="733E2FB0">
      <w:pPr>
        <w:pStyle w:val="4"/>
        <w:ind w:firstLine="640"/>
      </w:pPr>
      <w:r>
        <w:rPr>
          <w:rFonts w:hint="eastAsia"/>
        </w:rPr>
        <w:t>加强党的领导</w:t>
      </w:r>
    </w:p>
    <w:p w14:paraId="6442113C">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深入学习贯彻习近平新时代中国特色社会主义思想，深刻领会“两个确立”的决定性意义、增强“四个意识”、坚定“四个自信”、做到“两个维护”，充分发挥党总揽全局、协调各方的领导核心作用，把党的领导贯彻到国土空间规划编制实施全过程各领域各环节。规划实施中的重大事项或重大调整，及时按程序向县委、县政府请示报告。</w:t>
      </w:r>
    </w:p>
    <w:p w14:paraId="3CC74F6C">
      <w:pPr>
        <w:pStyle w:val="4"/>
        <w:ind w:firstLine="640"/>
      </w:pPr>
      <w:r>
        <w:rPr>
          <w:rFonts w:hint="eastAsia"/>
        </w:rPr>
        <w:t>加强组织保障</w:t>
      </w:r>
    </w:p>
    <w:p w14:paraId="7DAAA89D">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各级党委和政府要充分认识建立国土空间规划体系的重大意义，由主要负责人指导组织规划编制工作，落实地方党委和政府组织编制和实施国土空间规划的主体责任。加强规划实施组织和沟通协调，明确工作职责和任务分工，形成部门合力，共同落实规划任务。建立健全市县国土空间规划委员会制度，发挥对国土空间规划编制实施管理重大问题的统筹协调和议事决策作用。各地各部门要围绕本规划的实施出台工作方案。</w:t>
      </w:r>
    </w:p>
    <w:p w14:paraId="6587D12B">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152" w:name="_Toc26617"/>
      <w:bookmarkStart w:id="1153" w:name="_Toc21782"/>
      <w:bookmarkStart w:id="1154" w:name="_Toc5229"/>
      <w:bookmarkStart w:id="1155" w:name="_Toc19559"/>
      <w:bookmarkStart w:id="1156" w:name="_Toc18793"/>
      <w:bookmarkStart w:id="1157" w:name="_Toc17528"/>
      <w:bookmarkStart w:id="1158" w:name="_Toc22900"/>
      <w:r>
        <w:rPr>
          <w:rFonts w:hint="eastAsia" w:ascii="黑体" w:hAnsi="黑体" w:cs="黑体"/>
          <w:bCs w:val="0"/>
        </w:rPr>
        <w:t>第二节 规划传导</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2"/>
      <w:bookmarkEnd w:id="1153"/>
      <w:bookmarkEnd w:id="1154"/>
      <w:bookmarkEnd w:id="1155"/>
      <w:bookmarkEnd w:id="1156"/>
      <w:bookmarkEnd w:id="1157"/>
      <w:bookmarkEnd w:id="1158"/>
    </w:p>
    <w:p w14:paraId="79562D23">
      <w:pPr>
        <w:pStyle w:val="4"/>
        <w:ind w:firstLine="640"/>
      </w:pPr>
      <w:bookmarkStart w:id="1159" w:name="_Toc20332"/>
      <w:bookmarkStart w:id="1160" w:name="_Toc1119"/>
      <w:bookmarkStart w:id="1161" w:name="_Toc18136"/>
      <w:bookmarkStart w:id="1162" w:name="_Toc138866925"/>
      <w:bookmarkStart w:id="1163" w:name="_Toc4688"/>
      <w:bookmarkStart w:id="1164" w:name="_Toc15297"/>
      <w:bookmarkStart w:id="1165" w:name="_Toc12616"/>
      <w:bookmarkStart w:id="1166" w:name="_Toc12115"/>
      <w:bookmarkStart w:id="1167" w:name="_Toc138429044"/>
      <w:bookmarkStart w:id="1168" w:name="_Toc16642"/>
      <w:bookmarkStart w:id="1169" w:name="_Toc5032"/>
      <w:bookmarkStart w:id="1170" w:name="_Toc21889"/>
      <w:r>
        <w:rPr>
          <w:rFonts w:hint="eastAsia"/>
        </w:rPr>
        <w:t>乡镇规划传导</w:t>
      </w:r>
      <w:bookmarkEnd w:id="1159"/>
      <w:bookmarkEnd w:id="1160"/>
      <w:bookmarkEnd w:id="1161"/>
      <w:bookmarkEnd w:id="1162"/>
      <w:bookmarkEnd w:id="1163"/>
      <w:bookmarkEnd w:id="1164"/>
      <w:bookmarkEnd w:id="1165"/>
      <w:bookmarkEnd w:id="1166"/>
      <w:bookmarkEnd w:id="1167"/>
      <w:bookmarkEnd w:id="1168"/>
      <w:bookmarkEnd w:id="1169"/>
      <w:bookmarkEnd w:id="1170"/>
    </w:p>
    <w:p w14:paraId="4E1D1A6E">
      <w:pPr>
        <w:widowControl/>
        <w:shd w:val="clear" w:color="auto" w:fill="FFFFFF"/>
        <w:spacing w:line="560" w:lineRule="exact"/>
        <w:ind w:firstLine="640"/>
        <w:jc w:val="both"/>
        <w:rPr>
          <w:rFonts w:ascii="仿宋" w:hAnsi="仿宋" w:eastAsia="仿宋" w:cs="仿宋_GB2312"/>
          <w:kern w:val="0"/>
          <w:szCs w:val="32"/>
          <w:shd w:val="clear" w:color="auto" w:fill="FFFFFF"/>
        </w:rPr>
      </w:pPr>
      <w:bookmarkStart w:id="1171" w:name="_Toc114575934"/>
      <w:r>
        <w:rPr>
          <w:rFonts w:ascii="仿宋" w:hAnsi="仿宋" w:eastAsia="仿宋" w:cs="仿宋_GB2312"/>
          <w:kern w:val="0"/>
          <w:szCs w:val="32"/>
          <w:shd w:val="clear" w:color="auto" w:fill="FFFFFF"/>
        </w:rPr>
        <w:t>构建</w:t>
      </w:r>
      <w:r>
        <w:rPr>
          <w:rFonts w:hint="eastAsia" w:ascii="仿宋" w:hAnsi="仿宋" w:eastAsia="仿宋" w:cs="仿宋_GB2312"/>
          <w:kern w:val="0"/>
          <w:szCs w:val="32"/>
          <w:shd w:val="clear" w:color="auto" w:fill="FFFFFF"/>
        </w:rPr>
        <w:t>“市</w:t>
      </w:r>
      <w:r>
        <w:rPr>
          <w:rFonts w:ascii="仿宋" w:hAnsi="仿宋" w:eastAsia="仿宋" w:cs="仿宋_GB2312"/>
          <w:kern w:val="0"/>
          <w:szCs w:val="32"/>
          <w:shd w:val="clear" w:color="auto" w:fill="FFFFFF"/>
        </w:rPr>
        <w:t>-县-乡镇”总体规划传导机制，严格落实上级总体规划确定的功能定位，发展职能，按照发展策略推进重点项目和重点地区发展，以乡镇为单位，按照发展策略推进重点项目和重点地区发展，严格落实耕地和永久基本农田保护红线、生态保护红线、城镇开发边界规模，确保相关约束性指标的落实。</w:t>
      </w:r>
    </w:p>
    <w:p w14:paraId="2BB20A1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白霓镇规划引导。规划白霓镇为全国重点镇，职能定位为农旅型城镇，以商贸物流、休闲康养、现代农业与历史文化旅游为主的特色城镇，发展小微企业孵化园。镇区功能组团由</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国道分隔成南北两部分。镇区中心依托原集镇中心建设，作为镇区综合服务中心。休闲康养产业集中布置于镇区北侧浪口、大塘、纸棚、龙泉等村，乡村旅游民宿发展产业集中布置于镇区南侧古堰大道沿线村，商贸物流业集中布置于镇区中心，后溪余耕主要发展小微企业。金星、严垅等村发展现代农业。</w:t>
      </w:r>
    </w:p>
    <w:p w14:paraId="5DEF11E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沙坪镇规划引导。规划沙坪镇为崇阳县重点镇，职能定位为综合型，为崇阳县西部服务中心，以水果种植、农副产品加工、都市农业旅游、现代服务业为主。沙坪镇城镇建设用地位于杭瑞高速北侧，</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国道两侧，用地主要依托西侧缓坡地展开，并沿</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国道向南北进一步拉开框架。依托原镇区规划新的镇区中心，镇区中心主要包括行政办公、医院、商业金融、文体科技等用地，为全镇提供必要的公共活动空间。规划在老镇区西南侧集中布局工业用地。</w:t>
      </w:r>
    </w:p>
    <w:p w14:paraId="4C7EEF16">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路口镇规划引导。规划路口镇为崇阳县重点镇，职能定位农工型，为崇阳县东部门户，以油茶和中药材种植、现代农业为主。积极发展新型工业，将路口镇打造为产业连片、文旅兴盛、工业聚集的综合性乡镇。路口镇城镇用地位于杭瑞高速南侧，沿</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国道两侧东西向发展。依托原集镇，发展镇区中心，作为综合服务中心；依托国道，条状分布居住功能用地。</w:t>
      </w:r>
    </w:p>
    <w:p w14:paraId="7CF4F27F">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金塘镇规划引导。规划金塘镇为一般镇，职能定位为文旅融合型，以生态林业、红色旅游、边界商贸为主导的特色生态型城镇。金塘镇城镇建设用地位于</w:t>
      </w:r>
      <w:r>
        <w:rPr>
          <w:rFonts w:ascii="Times New Roman" w:hAnsi="Times New Roman" w:eastAsia="仿宋"/>
          <w:kern w:val="0"/>
          <w:szCs w:val="32"/>
          <w:shd w:val="clear" w:color="auto" w:fill="FFFFFF"/>
        </w:rPr>
        <w:t>246</w:t>
      </w:r>
      <w:r>
        <w:rPr>
          <w:rFonts w:ascii="仿宋" w:hAnsi="仿宋" w:eastAsia="仿宋" w:cs="仿宋_GB2312"/>
          <w:kern w:val="0"/>
          <w:szCs w:val="32"/>
          <w:shd w:val="clear" w:color="auto" w:fill="FFFFFF"/>
        </w:rPr>
        <w:t>省道和</w:t>
      </w:r>
      <w:r>
        <w:rPr>
          <w:rFonts w:ascii="Times New Roman" w:hAnsi="Times New Roman" w:eastAsia="仿宋"/>
          <w:kern w:val="0"/>
          <w:szCs w:val="32"/>
          <w:shd w:val="clear" w:color="auto" w:fill="FFFFFF"/>
        </w:rPr>
        <w:t>362</w:t>
      </w:r>
      <w:r>
        <w:rPr>
          <w:rFonts w:ascii="仿宋" w:hAnsi="仿宋" w:eastAsia="仿宋" w:cs="仿宋_GB2312"/>
          <w:kern w:val="0"/>
          <w:szCs w:val="32"/>
          <w:shd w:val="clear" w:color="auto" w:fill="FFFFFF"/>
        </w:rPr>
        <w:t>省道交叉口处，镇区在原有集镇的基础上，依托</w:t>
      </w:r>
      <w:r>
        <w:rPr>
          <w:rFonts w:ascii="Times New Roman" w:hAnsi="Times New Roman" w:eastAsia="仿宋"/>
          <w:kern w:val="0"/>
          <w:szCs w:val="32"/>
          <w:shd w:val="clear" w:color="auto" w:fill="FFFFFF"/>
        </w:rPr>
        <w:t>362</w:t>
      </w:r>
      <w:r>
        <w:rPr>
          <w:rFonts w:ascii="仿宋" w:hAnsi="仿宋" w:eastAsia="仿宋" w:cs="仿宋_GB2312"/>
          <w:kern w:val="0"/>
          <w:szCs w:val="32"/>
          <w:shd w:val="clear" w:color="auto" w:fill="FFFFFF"/>
        </w:rPr>
        <w:t>省道（金塘镇至高枧乡路段）发展形成新城镇区，城镇用地主要依托</w:t>
      </w:r>
      <w:r>
        <w:rPr>
          <w:rFonts w:ascii="Times New Roman" w:hAnsi="Times New Roman" w:eastAsia="仿宋"/>
          <w:kern w:val="0"/>
          <w:szCs w:val="32"/>
          <w:shd w:val="clear" w:color="auto" w:fill="FFFFFF"/>
        </w:rPr>
        <w:t>246</w:t>
      </w:r>
      <w:r>
        <w:rPr>
          <w:rFonts w:ascii="仿宋" w:hAnsi="仿宋" w:eastAsia="仿宋" w:cs="仿宋_GB2312"/>
          <w:kern w:val="0"/>
          <w:szCs w:val="32"/>
          <w:shd w:val="clear" w:color="auto" w:fill="FFFFFF"/>
        </w:rPr>
        <w:t>省道和</w:t>
      </w:r>
      <w:r>
        <w:rPr>
          <w:rFonts w:ascii="Times New Roman" w:hAnsi="Times New Roman" w:eastAsia="仿宋"/>
          <w:kern w:val="0"/>
          <w:szCs w:val="32"/>
          <w:shd w:val="clear" w:color="auto" w:fill="FFFFFF"/>
        </w:rPr>
        <w:t>362</w:t>
      </w:r>
      <w:r>
        <w:rPr>
          <w:rFonts w:ascii="仿宋" w:hAnsi="仿宋" w:eastAsia="仿宋" w:cs="仿宋_GB2312"/>
          <w:kern w:val="0"/>
          <w:szCs w:val="32"/>
          <w:shd w:val="clear" w:color="auto" w:fill="FFFFFF"/>
        </w:rPr>
        <w:t>省道发展。</w:t>
      </w:r>
    </w:p>
    <w:p w14:paraId="0451448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青山镇规划引导。规划青山镇为一般城镇，职能定位为旅游型城镇，强化资源保护建设，特色生态旅游发展为主，引导工业绿色发展。青山镇城镇建设用地位于青山水库北侧，省道</w:t>
      </w:r>
      <w:r>
        <w:rPr>
          <w:rFonts w:ascii="Times New Roman" w:hAnsi="Times New Roman" w:eastAsia="仿宋"/>
          <w:kern w:val="0"/>
          <w:szCs w:val="32"/>
          <w:shd w:val="clear" w:color="auto" w:fill="FFFFFF"/>
        </w:rPr>
        <w:t>416</w:t>
      </w:r>
      <w:r>
        <w:rPr>
          <w:rFonts w:ascii="仿宋" w:hAnsi="仿宋" w:eastAsia="仿宋" w:cs="仿宋_GB2312"/>
          <w:kern w:val="0"/>
          <w:szCs w:val="32"/>
          <w:shd w:val="clear" w:color="auto" w:fill="FFFFFF"/>
        </w:rPr>
        <w:t>西侧，用地主要沿省道向北发展。镇区中心依托原集镇中心建设，作为镇区综合服务中心；居住功能组团主要位于镇区南部和西侧。</w:t>
      </w:r>
    </w:p>
    <w:p w14:paraId="4608CDE7">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石城镇规划引导。规划石城镇为一般城镇，职能定位为农业型城镇，以农产品生产为主，作为西部交通枢纽和物资集散中心为主。石城镇城镇建设用地位于</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国道南侧，用地主要依托</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国道条状发展。依托原集镇，在</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国道和南北向县道交叉口布置公共设施用地，形成整个集镇的公建核心区，并均衡布局居住等功能用地。</w:t>
      </w:r>
    </w:p>
    <w:p w14:paraId="7E0769A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桂花泉镇规划引导。规划桂花泉镇为一般乡镇，职能定位为农旅型，结合森林、矿产、旅游等资源优势，发展现代林业、生态旅游、矿产加工为特色的农旅型城镇。桂花泉镇城镇建设用地位于</w:t>
      </w:r>
      <w:r>
        <w:rPr>
          <w:rFonts w:ascii="Times New Roman" w:hAnsi="Times New Roman" w:eastAsia="仿宋"/>
          <w:kern w:val="0"/>
          <w:szCs w:val="32"/>
          <w:shd w:val="clear" w:color="auto" w:fill="FFFFFF"/>
        </w:rPr>
        <w:t>319</w:t>
      </w:r>
      <w:r>
        <w:rPr>
          <w:rFonts w:ascii="仿宋" w:hAnsi="仿宋" w:eastAsia="仿宋" w:cs="仿宋_GB2312"/>
          <w:kern w:val="0"/>
          <w:szCs w:val="32"/>
          <w:shd w:val="clear" w:color="auto" w:fill="FFFFFF"/>
        </w:rPr>
        <w:t>省道南侧，考虑用地地质灾害频发，规划控制建设用地规模。</w:t>
      </w:r>
    </w:p>
    <w:p w14:paraId="245E309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铜钟乡规划引导。规划铜钟乡为一般乡镇，职能定位为农工型，以现代工业、现代农业为主，作为县域建设的弹性空间。铜钟乡城镇建设用地沿</w:t>
      </w:r>
      <w:r>
        <w:rPr>
          <w:rFonts w:ascii="Times New Roman" w:hAnsi="Times New Roman" w:eastAsia="仿宋"/>
          <w:kern w:val="0"/>
          <w:szCs w:val="32"/>
          <w:shd w:val="clear" w:color="auto" w:fill="FFFFFF"/>
        </w:rPr>
        <w:t>246</w:t>
      </w:r>
      <w:r>
        <w:rPr>
          <w:rFonts w:ascii="仿宋" w:hAnsi="仿宋" w:eastAsia="仿宋" w:cs="仿宋_GB2312"/>
          <w:kern w:val="0"/>
          <w:szCs w:val="32"/>
          <w:shd w:val="clear" w:color="auto" w:fill="FFFFFF"/>
        </w:rPr>
        <w:t>省道两侧布局，主要依托</w:t>
      </w:r>
      <w:r>
        <w:rPr>
          <w:rFonts w:ascii="Times New Roman" w:hAnsi="Times New Roman" w:eastAsia="仿宋"/>
          <w:kern w:val="0"/>
          <w:szCs w:val="32"/>
          <w:shd w:val="clear" w:color="auto" w:fill="FFFFFF"/>
        </w:rPr>
        <w:t>246</w:t>
      </w:r>
      <w:r>
        <w:rPr>
          <w:rFonts w:ascii="仿宋" w:hAnsi="仿宋" w:eastAsia="仿宋" w:cs="仿宋_GB2312"/>
          <w:kern w:val="0"/>
          <w:szCs w:val="32"/>
          <w:shd w:val="clear" w:color="auto" w:fill="FFFFFF"/>
        </w:rPr>
        <w:t>省道南北向发展。公共服务区主要布置在老镇区和北部新区；工业功能布置在镇区北部、</w:t>
      </w:r>
      <w:r>
        <w:rPr>
          <w:rFonts w:ascii="Times New Roman" w:hAnsi="Times New Roman" w:eastAsia="仿宋"/>
          <w:kern w:val="0"/>
          <w:szCs w:val="32"/>
          <w:shd w:val="clear" w:color="auto" w:fill="FFFFFF"/>
        </w:rPr>
        <w:t>246</w:t>
      </w:r>
      <w:r>
        <w:rPr>
          <w:rFonts w:ascii="仿宋" w:hAnsi="仿宋" w:eastAsia="仿宋" w:cs="仿宋_GB2312"/>
          <w:kern w:val="0"/>
          <w:szCs w:val="32"/>
          <w:shd w:val="clear" w:color="auto" w:fill="FFFFFF"/>
        </w:rPr>
        <w:t>省道西侧；居住功能区主要分布在镇区南部和东北部。</w:t>
      </w:r>
    </w:p>
    <w:p w14:paraId="45688C6D">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肖岭乡规划引导。规划肖岭乡为一般乡镇，职能定位农工型，以农产品生产为主，落实发展省级跨区域重点项目产业园的建设需求。肖岭乡城镇建设用地依托</w:t>
      </w:r>
      <w:r>
        <w:rPr>
          <w:rFonts w:ascii="Times New Roman" w:hAnsi="Times New Roman" w:eastAsia="仿宋"/>
          <w:kern w:val="0"/>
          <w:szCs w:val="32"/>
          <w:shd w:val="clear" w:color="auto" w:fill="FFFFFF"/>
        </w:rPr>
        <w:t>106</w:t>
      </w:r>
      <w:r>
        <w:rPr>
          <w:rFonts w:ascii="仿宋" w:hAnsi="仿宋" w:eastAsia="仿宋" w:cs="仿宋_GB2312"/>
          <w:kern w:val="0"/>
          <w:szCs w:val="32"/>
          <w:shd w:val="clear" w:color="auto" w:fill="FFFFFF"/>
        </w:rPr>
        <w:t>国道南北向发展，镇区形成南北两个功能组团，用地以居住和公共服务用地为主，工业用地位于南部组团、北部隽水河东岸及与通城县交界区域。</w:t>
      </w:r>
    </w:p>
    <w:p w14:paraId="7786A2C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港口乡规划引导。规划港口乡为一般乡镇，职能定位为农旅型，发展现代农林业、农产品加工、生态旅游为主。港口乡城镇建设用地主要依托</w:t>
      </w:r>
      <w:r>
        <w:rPr>
          <w:rFonts w:ascii="Times New Roman" w:hAnsi="Times New Roman" w:eastAsia="仿宋"/>
          <w:kern w:val="0"/>
          <w:szCs w:val="32"/>
          <w:shd w:val="clear" w:color="auto" w:fill="FFFFFF"/>
        </w:rPr>
        <w:t>246</w:t>
      </w:r>
      <w:r>
        <w:rPr>
          <w:rFonts w:ascii="仿宋" w:hAnsi="仿宋" w:eastAsia="仿宋" w:cs="仿宋_GB2312"/>
          <w:kern w:val="0"/>
          <w:szCs w:val="32"/>
          <w:shd w:val="clear" w:color="auto" w:fill="FFFFFF"/>
        </w:rPr>
        <w:t>省道南北向发展。用地依托现状集镇中心，形成乡域综合服务中心，居住用地围绕镇区中心布置。</w:t>
      </w:r>
    </w:p>
    <w:p w14:paraId="1AF1EC2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高枧乡规划引导。规划高枧乡为一般乡镇，职能定位为农业型城镇，发展现代林业、特色农业和生态旅游。高枧乡城镇建设用地主要依托</w:t>
      </w:r>
      <w:r>
        <w:rPr>
          <w:rFonts w:ascii="Times New Roman" w:hAnsi="Times New Roman" w:eastAsia="仿宋"/>
          <w:kern w:val="0"/>
          <w:szCs w:val="32"/>
          <w:shd w:val="clear" w:color="auto" w:fill="FFFFFF"/>
        </w:rPr>
        <w:t>362</w:t>
      </w:r>
      <w:r>
        <w:rPr>
          <w:rFonts w:ascii="仿宋" w:hAnsi="仿宋" w:eastAsia="仿宋" w:cs="仿宋_GB2312"/>
          <w:kern w:val="0"/>
          <w:szCs w:val="32"/>
          <w:shd w:val="clear" w:color="auto" w:fill="FFFFFF"/>
        </w:rPr>
        <w:t>省道、铜小公路和</w:t>
      </w:r>
      <w:r>
        <w:rPr>
          <w:rFonts w:ascii="Times New Roman" w:hAnsi="Times New Roman" w:eastAsia="仿宋"/>
          <w:kern w:val="0"/>
          <w:szCs w:val="32"/>
          <w:shd w:val="clear" w:color="auto" w:fill="FFFFFF"/>
        </w:rPr>
        <w:t>259</w:t>
      </w:r>
      <w:r>
        <w:rPr>
          <w:rFonts w:ascii="仿宋" w:hAnsi="仿宋" w:eastAsia="仿宋" w:cs="仿宋_GB2312"/>
          <w:kern w:val="0"/>
          <w:szCs w:val="32"/>
          <w:shd w:val="clear" w:color="auto" w:fill="FFFFFF"/>
        </w:rPr>
        <w:t>省道发展布局。依托现状用地，在省道交叉处发展公共服务中心，包括行政办公、医院、商业金融、文体科技用地等，为全乡提供必要的公共服务。同时，以公共服务区为中心，妥善布局居住等用地。</w:t>
      </w:r>
    </w:p>
    <w:bookmarkEnd w:id="1171"/>
    <w:p w14:paraId="3BFAD796">
      <w:pPr>
        <w:pStyle w:val="4"/>
        <w:ind w:firstLine="640"/>
      </w:pPr>
      <w:bookmarkStart w:id="1172" w:name="_Toc10486"/>
      <w:bookmarkStart w:id="1173" w:name="_Toc30491"/>
      <w:bookmarkStart w:id="1174" w:name="_Toc10116"/>
      <w:bookmarkStart w:id="1175" w:name="_Toc19030"/>
      <w:bookmarkStart w:id="1176" w:name="_Toc16667"/>
      <w:bookmarkStart w:id="1177" w:name="_Toc138866926"/>
      <w:bookmarkStart w:id="1178" w:name="_Toc138429045"/>
      <w:bookmarkStart w:id="1179" w:name="_Toc31580"/>
      <w:bookmarkStart w:id="1180" w:name="_Toc16879"/>
      <w:bookmarkStart w:id="1181" w:name="_Toc10499"/>
      <w:bookmarkStart w:id="1182" w:name="_Toc16246"/>
      <w:bookmarkStart w:id="1183" w:name="_Toc7257"/>
      <w:r>
        <w:rPr>
          <w:rFonts w:hint="eastAsia"/>
        </w:rPr>
        <w:t>专项规划指引</w:t>
      </w:r>
      <w:bookmarkEnd w:id="1172"/>
      <w:bookmarkEnd w:id="1173"/>
      <w:bookmarkEnd w:id="1174"/>
      <w:bookmarkEnd w:id="1175"/>
      <w:bookmarkEnd w:id="1176"/>
      <w:bookmarkEnd w:id="1177"/>
      <w:bookmarkEnd w:id="1178"/>
      <w:bookmarkEnd w:id="1179"/>
      <w:bookmarkEnd w:id="1180"/>
      <w:bookmarkEnd w:id="1181"/>
      <w:bookmarkEnd w:id="1182"/>
      <w:bookmarkEnd w:id="1183"/>
    </w:p>
    <w:p w14:paraId="1D3B12CD">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县级国土空间总体规划是相关专项规划的基础，相关专项应与详细规划衔接。各专项规划深度应满足其专业规划编制技术导则和主管部门深度要求，在总体目标和重点管控内容上与国土空间规划保持衔接一致，不得突破约束性要求。包括但不限于综合交通、市政基础设施、生态环境保护、公共服务设施、综合防灾设施、人民防空、绿地系统、地下空间、历史文化保护、村庄分类布局、自然生态公园城市等专项规划。</w:t>
      </w:r>
    </w:p>
    <w:p w14:paraId="3FD752B8">
      <w:pPr>
        <w:pStyle w:val="4"/>
        <w:ind w:firstLine="640"/>
      </w:pPr>
      <w:bookmarkStart w:id="1184" w:name="_Toc138429046"/>
      <w:bookmarkStart w:id="1185" w:name="_Toc9150"/>
      <w:bookmarkStart w:id="1186" w:name="_Toc26146"/>
      <w:bookmarkStart w:id="1187" w:name="_Toc11433"/>
      <w:bookmarkStart w:id="1188" w:name="_Toc30951"/>
      <w:bookmarkStart w:id="1189" w:name="_Toc13241"/>
      <w:bookmarkStart w:id="1190" w:name="_Toc23138"/>
      <w:bookmarkStart w:id="1191" w:name="_Toc138866927"/>
      <w:bookmarkStart w:id="1192" w:name="_Toc25559"/>
      <w:bookmarkStart w:id="1193" w:name="_Toc613"/>
      <w:bookmarkStart w:id="1194" w:name="_Toc6516"/>
      <w:bookmarkStart w:id="1195" w:name="_Toc13065"/>
      <w:bookmarkStart w:id="1196" w:name="_Toc114575935"/>
      <w:r>
        <w:rPr>
          <w:rFonts w:hint="eastAsia"/>
        </w:rPr>
        <w:t>详细规划</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Fonts w:hint="eastAsia"/>
        </w:rPr>
        <w:t>传导</w:t>
      </w:r>
    </w:p>
    <w:p w14:paraId="73ED01C0">
      <w:pPr>
        <w:widowControl/>
        <w:shd w:val="clear" w:color="auto" w:fill="FFFFFF"/>
        <w:spacing w:line="560" w:lineRule="exact"/>
        <w:ind w:firstLine="641" w:firstLineChars="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构建总体规划和详细规划之间科学有效的传导机制，强化国土空间规划上位规划对下层次规划的指导和约束作用。明确发展目标、“三区三线”、规划分区、县级总体规划刚性管控要求，详细规划通过对具体用途和开发建设强度等作出实施性安排，结合城镇、农业、生态空间不同的管控需求，划分为编制单元，细化和明确土地用途、用途管制、功能单元管控相关要求。</w:t>
      </w:r>
    </w:p>
    <w:p w14:paraId="71FE380E">
      <w:pPr>
        <w:widowControl/>
        <w:shd w:val="clear" w:color="auto" w:fill="FFFFFF"/>
        <w:spacing w:line="560" w:lineRule="exact"/>
        <w:ind w:firstLine="641" w:firstLineChars="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结合自然地理、村级行政边界、特殊要素等为界线，划分详细规划单元</w:t>
      </w:r>
      <w:r>
        <w:rPr>
          <w:rFonts w:hint="eastAsia" w:ascii="仿宋" w:hAnsi="仿宋" w:eastAsia="仿宋" w:cs="仿宋_GB2312"/>
          <w:kern w:val="0"/>
          <w:szCs w:val="32"/>
          <w:shd w:val="clear" w:color="auto" w:fill="FFFFFF"/>
          <w:lang w:eastAsia="zh-CN"/>
        </w:rPr>
        <w:t>。</w:t>
      </w:r>
      <w:r>
        <w:rPr>
          <w:rFonts w:ascii="仿宋" w:hAnsi="仿宋" w:eastAsia="仿宋" w:cs="仿宋_GB2312"/>
          <w:kern w:val="0"/>
          <w:szCs w:val="32"/>
          <w:shd w:val="clear" w:color="auto" w:fill="FFFFFF"/>
        </w:rPr>
        <w:t>中心城区按照自然地理、主要道路、行政边界、城镇开发边界范围为界限，统筹考虑既有详细规划编制成果，划定中心城区详细规划单元作为重要依据，分层细化总体规划向详细规划的传导内容。</w:t>
      </w:r>
    </w:p>
    <w:p w14:paraId="6BAA1DB8">
      <w:pPr>
        <w:widowControl/>
        <w:shd w:val="clear" w:color="auto" w:fill="FFFFFF"/>
        <w:spacing w:line="560" w:lineRule="exact"/>
        <w:ind w:firstLine="641" w:firstLineChars="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刚性传导：落实国土空间总体规划确定的城市四线等底线要素，明确公园绿地面积，重要公共服务设施和市政基础设施、次干路及以上路网。各控规单元在编制控制性详细规划时应该严格遵守刚性管控内容。</w:t>
      </w:r>
    </w:p>
    <w:p w14:paraId="612CD28B">
      <w:pPr>
        <w:widowControl/>
        <w:shd w:val="clear" w:color="auto" w:fill="FFFFFF"/>
        <w:spacing w:line="560" w:lineRule="exact"/>
        <w:ind w:firstLine="641" w:firstLineChars="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弹性引导：对控规单元中确定的人口规模、居住、商业、工业、物流等经营性用地、公共服务设施和市政基础设施用地布局、公园绿地的具体用地布局、支路等内容进行弹性引导，可结合实际情况在单元范围内进行局部调整。</w:t>
      </w:r>
    </w:p>
    <w:p w14:paraId="0C7F1B69">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197" w:name="_Toc24593"/>
      <w:bookmarkStart w:id="1198" w:name="_Toc138867027"/>
      <w:bookmarkStart w:id="1199" w:name="_Toc25009"/>
      <w:bookmarkStart w:id="1200" w:name="_Toc138866930"/>
      <w:bookmarkStart w:id="1201" w:name="_Toc31536"/>
      <w:bookmarkStart w:id="1202" w:name="_Toc4395"/>
      <w:bookmarkStart w:id="1203" w:name="_Toc3831"/>
      <w:bookmarkStart w:id="1204" w:name="_Toc15016"/>
      <w:bookmarkStart w:id="1205" w:name="_Toc27682"/>
      <w:bookmarkStart w:id="1206" w:name="_Toc28463"/>
      <w:bookmarkStart w:id="1207" w:name="_Toc10477"/>
      <w:bookmarkStart w:id="1208" w:name="_Toc11502"/>
      <w:bookmarkStart w:id="1209" w:name="_Toc23659"/>
      <w:bookmarkStart w:id="1210" w:name="_Toc5441"/>
      <w:bookmarkStart w:id="1211" w:name="_Toc23302"/>
      <w:bookmarkStart w:id="1212" w:name="_Toc28329"/>
      <w:bookmarkStart w:id="1213" w:name="_Toc31354"/>
      <w:bookmarkStart w:id="1214" w:name="_Toc31485"/>
      <w:bookmarkStart w:id="1215" w:name="_Toc16884"/>
      <w:bookmarkStart w:id="1216" w:name="_Toc21649"/>
      <w:bookmarkStart w:id="1217" w:name="_Toc21073"/>
      <w:bookmarkStart w:id="1218" w:name="_Toc5864"/>
      <w:bookmarkStart w:id="1219" w:name="_Toc8072"/>
      <w:bookmarkStart w:id="1220" w:name="_Toc19425"/>
      <w:bookmarkStart w:id="1221" w:name="_Toc18844"/>
      <w:bookmarkStart w:id="1222" w:name="_Toc516"/>
      <w:r>
        <w:rPr>
          <w:rFonts w:hint="eastAsia" w:ascii="黑体" w:hAnsi="黑体" w:cs="黑体"/>
          <w:bCs w:val="0"/>
        </w:rPr>
        <w:t>第三节 规划评估、监督机制及信息平台建设</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14:paraId="4B8B6CB3">
      <w:pPr>
        <w:pStyle w:val="4"/>
        <w:ind w:firstLine="640"/>
      </w:pPr>
      <w:bookmarkStart w:id="1223" w:name="_Toc4954"/>
      <w:bookmarkStart w:id="1224" w:name="_Toc138866931"/>
      <w:bookmarkStart w:id="1225" w:name="_Toc13501"/>
      <w:bookmarkStart w:id="1226" w:name="_Toc63873642"/>
      <w:bookmarkStart w:id="1227" w:name="_Toc55"/>
      <w:bookmarkStart w:id="1228" w:name="_Toc31308"/>
      <w:bookmarkStart w:id="1229" w:name="_Toc31112"/>
      <w:bookmarkStart w:id="1230" w:name="_Toc31801"/>
      <w:bookmarkStart w:id="1231" w:name="_Toc138429050"/>
      <w:bookmarkStart w:id="1232" w:name="_Toc17512"/>
      <w:bookmarkStart w:id="1233" w:name="_Toc9649"/>
      <w:bookmarkStart w:id="1234" w:name="_Toc2204"/>
      <w:bookmarkStart w:id="1235" w:name="_Toc3093"/>
      <w:r>
        <w:rPr>
          <w:rFonts w:hint="eastAsia"/>
        </w:rPr>
        <w:t>构建基于数字城市平台的实施监督系统</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14:paraId="20D86C9D">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强化规划实施建设监督，构建“预警监测－实施评估－督察问责”的规划实施监督体系，建立“一年一体检、五年一评估”常态化机制。整合城市数据资源，以城市综合数据库为基础，推进建设与实体城市同步的三维数字城市现状模型以及三维数字城市规划模型，关联城市多元数据，搭建数字城市平台，开展数字城市规划研究，接入咸宁市国土空间规划“一张图”实施监督信息系统，对国土空间保护开发行为进行动态监测，动态化开展崇阳县体检评估，及时反馈预警，完善年度实施计划。</w:t>
      </w:r>
    </w:p>
    <w:p w14:paraId="16E5D7FA">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统一基础标准，确保信息平台互联互通，实现各部门在统一平台上协同工作，共同建立、完善国土基础信息平台。加强各部门在公共财政投入、土地供应、重大项目推进与空间布局等建设时序上的相互协调，合理确定重点任务的年度安排和行动计划，设立项目库，同步规划、论证、监测、监督，及时把控项目进度。完善项目生成决策机制，提高审批效率，使审批流程更加科学、合理、高效。</w:t>
      </w:r>
    </w:p>
    <w:p w14:paraId="62808AB0">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坚持国土空间“唯一性”充分发挥国土空间规划对各类开发保护建设活动的指导作用，加强用地空间布局统筹，统筹协调交通能源水利等基础设施的用地需求。经工程可行性论证、已确定详细空间位置的，在国土空间规划“一张图”上明确具体位置、用地规模及空间关系；尚未确定详细空间位置的，列出项目清单，在国土空间规划“一张图”上示意位置、标注规模，并依据项目建设程序各阶段法定批复据实调整，逐步精准确定位置和规模、落地上图。</w:t>
      </w:r>
    </w:p>
    <w:p w14:paraId="6D3D5DA2">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自然资源主管部门要按照“统一底图、统一标准、统一规划、统一平台”要求，与发展改革、交通、能源、水利等有关部门共享国土空间规划“一张图”，主动为基础设施建设项目的选址选线提供合规性分析等支撑性、基础性服务切实落实最严格的耕地保护制度、节约集约制度和生态环境保护制度，重点评价分析建设项目涉及的耕地和永久基本农田保护、生态保护、节约集约用地和历史文化保护、地质灾害风险防控等红线底线要素并提出建设性意见。</w:t>
      </w:r>
    </w:p>
    <w:p w14:paraId="35D273D7">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236" w:name="_Toc222"/>
      <w:bookmarkStart w:id="1237" w:name="_Toc14557"/>
      <w:bookmarkStart w:id="1238" w:name="_Toc4583"/>
      <w:bookmarkStart w:id="1239" w:name="_Toc25278"/>
      <w:bookmarkStart w:id="1240" w:name="_Toc10193"/>
      <w:bookmarkStart w:id="1241" w:name="_Toc4194"/>
      <w:bookmarkStart w:id="1242" w:name="_Toc12823"/>
      <w:bookmarkStart w:id="1243" w:name="_Toc30005"/>
      <w:bookmarkStart w:id="1244" w:name="_Toc27496"/>
      <w:bookmarkStart w:id="1245" w:name="_Toc30667"/>
      <w:bookmarkStart w:id="1246" w:name="_Toc20383"/>
      <w:bookmarkStart w:id="1247" w:name="_Toc24771"/>
      <w:bookmarkStart w:id="1248" w:name="_Toc26073"/>
      <w:bookmarkStart w:id="1249" w:name="_Toc1758"/>
      <w:bookmarkStart w:id="1250" w:name="_Toc6769"/>
      <w:bookmarkStart w:id="1251" w:name="_Toc22406"/>
      <w:bookmarkStart w:id="1252" w:name="_Toc29573"/>
      <w:bookmarkStart w:id="1253" w:name="_Toc138867028"/>
      <w:bookmarkStart w:id="1254" w:name="_Toc138866932"/>
      <w:bookmarkStart w:id="1255" w:name="_Toc23511"/>
      <w:bookmarkStart w:id="1256" w:name="_Toc17035"/>
      <w:bookmarkStart w:id="1257" w:name="_Toc32726"/>
      <w:bookmarkStart w:id="1258" w:name="_Toc4316"/>
      <w:bookmarkStart w:id="1259" w:name="_Toc22889"/>
      <w:bookmarkStart w:id="1260" w:name="_Toc24863"/>
      <w:r>
        <w:rPr>
          <w:rFonts w:hint="eastAsia" w:ascii="黑体" w:hAnsi="黑体" w:cs="黑体"/>
          <w:bCs w:val="0"/>
        </w:rPr>
        <w:t>第四节 配套政策完善</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14:paraId="44FE6EEF">
      <w:pPr>
        <w:pStyle w:val="4"/>
        <w:ind w:firstLine="640"/>
      </w:pPr>
      <w:bookmarkStart w:id="1261" w:name="_Toc10295"/>
      <w:bookmarkStart w:id="1262" w:name="_Toc3006"/>
      <w:bookmarkStart w:id="1263" w:name="_Toc3724"/>
      <w:bookmarkStart w:id="1264" w:name="_Toc26844"/>
      <w:bookmarkStart w:id="1265" w:name="_Toc4730"/>
      <w:bookmarkStart w:id="1266" w:name="_Toc1680"/>
      <w:bookmarkStart w:id="1267" w:name="_Toc3547"/>
      <w:bookmarkStart w:id="1268" w:name="_Toc138429052"/>
      <w:bookmarkStart w:id="1269" w:name="_Toc63873643"/>
      <w:bookmarkStart w:id="1270" w:name="_Toc3735"/>
      <w:bookmarkStart w:id="1271" w:name="_Toc9050"/>
      <w:bookmarkStart w:id="1272" w:name="_Toc19979"/>
      <w:bookmarkStart w:id="1273" w:name="_Toc138866933"/>
      <w:r>
        <w:rPr>
          <w:rFonts w:hint="eastAsia"/>
        </w:rPr>
        <w:t>完善土地利用空间管控和治理相关政策</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14:paraId="155F1A01">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围绕“总量锁定、增量递减、存量优化、质量提高”的总体目标，深化完善土地要素配置、存量低效用地盘活、城市用地混合开发利用、农村土地制度改革、水资源保护利用、林地资源保护利用等政策。改革建设开发模式，建立城乡统一的建设用地市场，创新集体建设用地节约集约和转型升级利用机制。</w:t>
      </w:r>
    </w:p>
    <w:p w14:paraId="6261EBFB">
      <w:pPr>
        <w:pStyle w:val="4"/>
        <w:ind w:firstLine="640"/>
      </w:pPr>
      <w:r>
        <w:rPr>
          <w:rFonts w:hint="eastAsia"/>
        </w:rPr>
        <w:t>完善城市更新相关政策</w:t>
      </w:r>
    </w:p>
    <w:p w14:paraId="7762379C">
      <w:pPr>
        <w:widowControl/>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落实国土空间总体规划的规模目标和空间指引，摸底低效用地资源，衔接落实各类专项规划和管控要求，包括城中村综合整治、住房保障、产业空间保障、历史风貌区保护等专项工作，划定更新重点地区并指引改造方式，细化分解规模目标和指标分配；进一步加强与国民经济和社会发展规划的衔接，提出空间、产业、社会、生态等方面的综合性更新策略，明确工作重点与任务指标，通过下限考核与上限控制相结合的方式对近期项目实施进行管控。建立更加清晰的刚弹并举规则引导；加强区域统筹，构建利益调节、肥瘦搭配的区域协调机制；高效配置与城市发展红利公平保障的平衡。</w:t>
      </w:r>
    </w:p>
    <w:p w14:paraId="6DADA673">
      <w:pPr>
        <w:pStyle w:val="4"/>
        <w:ind w:firstLine="640"/>
      </w:pPr>
      <w:bookmarkStart w:id="1274" w:name="_Toc6339"/>
      <w:bookmarkStart w:id="1275" w:name="_Toc13481"/>
      <w:bookmarkStart w:id="1276" w:name="_Toc14425"/>
      <w:bookmarkStart w:id="1277" w:name="_Toc63873644"/>
      <w:bookmarkStart w:id="1278" w:name="_Toc138429053"/>
      <w:bookmarkStart w:id="1279" w:name="_Toc8397"/>
      <w:bookmarkStart w:id="1280" w:name="_Toc27502"/>
      <w:bookmarkStart w:id="1281" w:name="_Toc1136"/>
      <w:bookmarkStart w:id="1282" w:name="_Toc20855"/>
      <w:bookmarkStart w:id="1283" w:name="_Toc138866934"/>
      <w:bookmarkStart w:id="1284" w:name="_Toc27433"/>
      <w:bookmarkStart w:id="1285" w:name="_Toc24505"/>
      <w:bookmarkStart w:id="1286" w:name="_Toc17740"/>
      <w:r>
        <w:rPr>
          <w:rFonts w:hint="eastAsia"/>
        </w:rPr>
        <w:t>建立健全规划实施监督问责制度</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14:paraId="63C99F2E">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对规划实施的督导和考核，将考核结果作为部门及领导干部绩效考核的重要依据。健全监督问责机制，对违反规划和落实规划不力、造成严重损失或者重大影响的，一经发现，坚决严肃查处，依法依规追究责任。国土空间规划经法定程序批准后，及时向社会公布，接受社会监督。对已经批准的规划强制性内容进行修改的，应当采取多种形式就规划修改内容充分征求公众意见，并依照法定程序报原审批机关批准。</w:t>
      </w:r>
    </w:p>
    <w:p w14:paraId="086BACE0">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287" w:name="_Toc486"/>
      <w:bookmarkStart w:id="1288" w:name="_Toc138866935"/>
      <w:bookmarkStart w:id="1289" w:name="_Toc26087"/>
      <w:bookmarkStart w:id="1290" w:name="_Toc8599"/>
      <w:bookmarkStart w:id="1291" w:name="_Toc138867029"/>
      <w:bookmarkStart w:id="1292" w:name="_Toc17492"/>
      <w:bookmarkStart w:id="1293" w:name="_Toc14133"/>
      <w:bookmarkStart w:id="1294" w:name="_Toc30057"/>
      <w:bookmarkStart w:id="1295" w:name="_Toc3587"/>
      <w:bookmarkStart w:id="1296" w:name="_Toc29698"/>
      <w:bookmarkStart w:id="1297" w:name="_Toc4240"/>
      <w:bookmarkStart w:id="1298" w:name="_Toc18650"/>
      <w:bookmarkStart w:id="1299" w:name="_Toc26998"/>
      <w:bookmarkStart w:id="1300" w:name="_Toc17799"/>
      <w:bookmarkStart w:id="1301" w:name="_Toc15476"/>
      <w:bookmarkStart w:id="1302" w:name="_Toc23100"/>
      <w:bookmarkStart w:id="1303" w:name="_Toc19034"/>
      <w:bookmarkStart w:id="1304" w:name="_Toc22600"/>
      <w:bookmarkStart w:id="1305" w:name="_Toc3625"/>
      <w:bookmarkStart w:id="1306" w:name="_Toc9710"/>
      <w:bookmarkStart w:id="1307" w:name="_Toc32120"/>
      <w:bookmarkStart w:id="1308" w:name="_Toc8831"/>
      <w:bookmarkStart w:id="1309" w:name="_Toc19196"/>
      <w:bookmarkStart w:id="1310" w:name="_Toc27083"/>
      <w:bookmarkStart w:id="1311" w:name="_Toc8559"/>
      <w:r>
        <w:rPr>
          <w:rFonts w:hint="eastAsia" w:ascii="黑体" w:hAnsi="黑体" w:cs="黑体"/>
          <w:bCs w:val="0"/>
        </w:rPr>
        <w:t>第五节 近期建设</w:t>
      </w:r>
      <w:bookmarkEnd w:id="1150"/>
      <w:r>
        <w:rPr>
          <w:rFonts w:hint="eastAsia" w:ascii="黑体" w:hAnsi="黑体" w:cs="黑体"/>
          <w:bCs w:val="0"/>
        </w:rPr>
        <w:t>行动计划</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14:paraId="2F7EAA55">
      <w:pPr>
        <w:pStyle w:val="4"/>
        <w:ind w:firstLine="640"/>
      </w:pPr>
      <w:bookmarkStart w:id="1312" w:name="_Toc25819"/>
      <w:bookmarkStart w:id="1313" w:name="_Toc25631"/>
      <w:bookmarkStart w:id="1314" w:name="_Toc22342"/>
      <w:bookmarkStart w:id="1315" w:name="_Toc9752"/>
      <w:bookmarkStart w:id="1316" w:name="_Toc20108"/>
      <w:bookmarkStart w:id="1317" w:name="_Toc29135"/>
      <w:bookmarkStart w:id="1318" w:name="_Toc30711"/>
      <w:bookmarkStart w:id="1319" w:name="_Toc63873636"/>
      <w:bookmarkStart w:id="1320" w:name="_Toc19066"/>
      <w:bookmarkStart w:id="1321" w:name="_Toc138429055"/>
      <w:bookmarkStart w:id="1322" w:name="_Toc138866936"/>
      <w:bookmarkStart w:id="1323" w:name="_Toc21381"/>
      <w:bookmarkStart w:id="1324" w:name="_Toc6162"/>
      <w:r>
        <w:rPr>
          <w:rFonts w:hint="eastAsia"/>
        </w:rPr>
        <w:t>近期建设总体目标</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14:paraId="7B50BE7C">
      <w:pPr>
        <w:widowControl/>
        <w:shd w:val="clear" w:color="auto" w:fill="FFFFFF"/>
        <w:spacing w:line="560" w:lineRule="exact"/>
        <w:ind w:firstLine="640"/>
        <w:jc w:val="both"/>
        <w:rPr>
          <w:rFonts w:ascii="仿宋" w:hAnsi="仿宋" w:eastAsia="仿宋" w:cs="仿宋_GB2312"/>
          <w:kern w:val="0"/>
          <w:szCs w:val="32"/>
          <w:shd w:val="clear" w:color="auto" w:fill="FFFFFF"/>
        </w:rPr>
      </w:pPr>
      <w:bookmarkStart w:id="1325" w:name="OLE_LINK28"/>
      <w:bookmarkStart w:id="1326" w:name="OLE_LINK29"/>
      <w:r>
        <w:rPr>
          <w:rFonts w:ascii="仿宋" w:hAnsi="仿宋" w:eastAsia="仿宋" w:cs="仿宋_GB2312"/>
          <w:kern w:val="0"/>
          <w:szCs w:val="32"/>
          <w:shd w:val="clear" w:color="auto" w:fill="FFFFFF"/>
        </w:rPr>
        <w:t>至</w:t>
      </w:r>
      <w:r>
        <w:rPr>
          <w:rFonts w:ascii="Times New Roman" w:hAnsi="Times New Roman" w:eastAsia="仿宋"/>
          <w:kern w:val="0"/>
          <w:szCs w:val="32"/>
          <w:shd w:val="clear" w:color="auto" w:fill="FFFFFF"/>
        </w:rPr>
        <w:t>2025</w:t>
      </w:r>
      <w:r>
        <w:rPr>
          <w:rFonts w:ascii="仿宋" w:hAnsi="仿宋" w:eastAsia="仿宋" w:cs="仿宋_GB2312"/>
          <w:kern w:val="0"/>
          <w:szCs w:val="32"/>
          <w:shd w:val="clear" w:color="auto" w:fill="FFFFFF"/>
        </w:rPr>
        <w:t>年，崇阳县生态环境更加优良，山水人文特质逐渐凸显，积极推进武咸同城化，围绕现有的产业优势、潜力和机遇、着力形成</w:t>
      </w:r>
      <w:r>
        <w:rPr>
          <w:rFonts w:ascii="Times New Roman" w:hAnsi="Times New Roman" w:eastAsia="仿宋"/>
          <w:kern w:val="0"/>
          <w:szCs w:val="32"/>
          <w:shd w:val="clear" w:color="auto" w:fill="FFFFFF"/>
        </w:rPr>
        <w:t>4</w:t>
      </w:r>
      <w:r>
        <w:rPr>
          <w:rFonts w:ascii="仿宋" w:hAnsi="仿宋" w:eastAsia="仿宋" w:cs="仿宋_GB2312"/>
          <w:kern w:val="0"/>
          <w:szCs w:val="32"/>
          <w:shd w:val="clear" w:color="auto" w:fill="FFFFFF"/>
        </w:rPr>
        <w:t>大产业赋能方式结合现代农业、特色旅游业，共同构建“</w:t>
      </w:r>
      <w:r>
        <w:rPr>
          <w:rFonts w:ascii="Times New Roman" w:hAnsi="Times New Roman" w:eastAsia="仿宋"/>
          <w:kern w:val="0"/>
          <w:szCs w:val="32"/>
          <w:shd w:val="clear" w:color="auto" w:fill="FFFFFF"/>
        </w:rPr>
        <w:t>4</w:t>
      </w:r>
      <w:r>
        <w:rPr>
          <w:rFonts w:ascii="仿宋" w:hAnsi="仿宋" w:eastAsia="仿宋" w:cs="仿宋_GB2312"/>
          <w:kern w:val="0"/>
          <w:szCs w:val="32"/>
          <w:shd w:val="clear" w:color="auto" w:fill="FFFFFF"/>
        </w:rPr>
        <w:t>+N”的产业体系。重大基础设施和公共服务设施进一步完善，公共服务体系不断完善。城市重点拓展地区基本成型，建成区更加成熟完善，整体城市形态更加清晰。县域的功能联系更加紧密、交通联系更加顺畅，武咸同城化格局初步形成。</w:t>
      </w:r>
    </w:p>
    <w:bookmarkEnd w:id="1151"/>
    <w:bookmarkEnd w:id="1325"/>
    <w:bookmarkEnd w:id="1326"/>
    <w:p w14:paraId="7328FC76">
      <w:pPr>
        <w:pStyle w:val="3"/>
        <w:keepNext w:val="0"/>
        <w:widowControl/>
        <w:tabs>
          <w:tab w:val="left" w:leader="dot" w:pos="8295"/>
        </w:tabs>
        <w:autoSpaceDE w:val="0"/>
        <w:autoSpaceDN w:val="0"/>
        <w:spacing w:before="312" w:beforeLines="100" w:after="0" w:line="240" w:lineRule="auto"/>
        <w:rPr>
          <w:rFonts w:ascii="黑体" w:hAnsi="黑体" w:cs="黑体"/>
          <w:bCs w:val="0"/>
        </w:rPr>
      </w:pPr>
      <w:bookmarkStart w:id="1327" w:name="_Toc23333"/>
      <w:r>
        <w:rPr>
          <w:rFonts w:hint="eastAsia" w:ascii="黑体" w:hAnsi="黑体" w:cs="黑体"/>
          <w:bCs w:val="0"/>
        </w:rPr>
        <w:t>第六节 强化规划全生命周期管理</w:t>
      </w:r>
      <w:bookmarkEnd w:id="1327"/>
    </w:p>
    <w:p w14:paraId="3B420748">
      <w:pPr>
        <w:pStyle w:val="4"/>
        <w:ind w:firstLine="640"/>
      </w:pPr>
      <w:r>
        <w:rPr>
          <w:rFonts w:hint="eastAsia"/>
        </w:rPr>
        <w:t>近期建设重点区域引导</w:t>
      </w:r>
    </w:p>
    <w:p w14:paraId="54FA8529">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加强与行业部门五年规划和年度行动计划的协同，建立近期规划和年度实施计划滚动编制机制，按步骤、分重点落实国土空间总体规划目标任务，推动规划有序实施。</w:t>
      </w:r>
    </w:p>
    <w:p w14:paraId="5160E1CC">
      <w:pPr>
        <w:pStyle w:val="4"/>
        <w:ind w:firstLine="640"/>
      </w:pPr>
      <w:r>
        <w:rPr>
          <w:rFonts w:hint="eastAsia"/>
        </w:rPr>
        <w:t>加强规划监督</w:t>
      </w:r>
    </w:p>
    <w:p w14:paraId="229F9916">
      <w:pPr>
        <w:widowControl/>
        <w:shd w:val="clear" w:color="auto" w:fill="FFFFFF"/>
        <w:spacing w:line="560" w:lineRule="exact"/>
        <w:ind w:firstLine="640"/>
        <w:jc w:val="both"/>
        <w:rPr>
          <w:rFonts w:ascii="仿宋" w:hAnsi="仿宋" w:eastAsia="仿宋" w:cs="仿宋_GB2312"/>
          <w:kern w:val="0"/>
          <w:szCs w:val="32"/>
          <w:shd w:val="clear" w:color="auto" w:fill="FFFFFF"/>
        </w:rPr>
      </w:pPr>
      <w:r>
        <w:rPr>
          <w:rFonts w:ascii="仿宋" w:hAnsi="仿宋" w:eastAsia="仿宋" w:cs="仿宋_GB2312"/>
          <w:kern w:val="0"/>
          <w:szCs w:val="32"/>
          <w:shd w:val="clear" w:color="auto" w:fill="FFFFFF"/>
        </w:rPr>
        <w:t>建立常态化、法治化和制度化的公共参与考核评价体系，让公众通过法定的程序和渠道有效地参与规划实施的决策和监督。加强对国土空间规划的宣传，提高全社会对总体规划及其实施重要性的认识，建立健全规划评价监控、监督检查机制，完善规划决策体制和制度。</w:t>
      </w:r>
    </w:p>
    <w:p w14:paraId="65ABD72B">
      <w:pPr>
        <w:pStyle w:val="4"/>
        <w:ind w:firstLine="640"/>
      </w:pPr>
      <w:r>
        <w:rPr>
          <w:rFonts w:hint="eastAsia"/>
        </w:rPr>
        <w:t>建立反馈机制和动态维护机制</w:t>
      </w:r>
    </w:p>
    <w:p w14:paraId="43FD81EF">
      <w:pPr>
        <w:widowControl/>
        <w:shd w:val="clear" w:color="auto" w:fill="FFFFFF"/>
        <w:spacing w:line="560" w:lineRule="exact"/>
        <w:ind w:firstLine="640"/>
        <w:jc w:val="both"/>
        <w:rPr>
          <w:rFonts w:ascii="仿宋" w:hAnsi="仿宋" w:eastAsia="仿宋" w:cs="仿宋_GB2312"/>
          <w:kern w:val="0"/>
          <w:szCs w:val="32"/>
          <w:shd w:val="clear" w:color="auto" w:fill="FFFFFF"/>
        </w:rPr>
      </w:pPr>
      <w:bookmarkStart w:id="1328" w:name="OLE_LINK31"/>
      <w:bookmarkStart w:id="1329" w:name="OLE_LINK30"/>
      <w:r>
        <w:rPr>
          <w:rFonts w:ascii="仿宋" w:hAnsi="仿宋" w:eastAsia="仿宋" w:cs="仿宋_GB2312"/>
          <w:kern w:val="0"/>
          <w:szCs w:val="32"/>
          <w:shd w:val="clear" w:color="auto" w:fill="FFFFFF"/>
        </w:rPr>
        <w:t>建立常态化规划评估、报告、公开机制，实现“一年一体检、五年一评估”的规划评估常态化。建立国土空间规划监督制度，落实总体规划刚性传导机制，明确管控和考核指标，明晰详细规划的传导内容。</w:t>
      </w:r>
    </w:p>
    <w:bookmarkEnd w:id="1328"/>
    <w:bookmarkEnd w:id="1329"/>
    <w:p w14:paraId="373A37CF">
      <w:pPr>
        <w:pStyle w:val="5"/>
        <w:shd w:val="clear" w:color="auto" w:fill="FFFFFF"/>
        <w:spacing w:line="560" w:lineRule="exact"/>
        <w:ind w:firstLine="560"/>
        <w:rPr>
          <w:rFonts w:ascii="Times New Roman" w:hAnsi="Times New Roman" w:eastAsia="仿宋_GB2312"/>
          <w:sz w:val="28"/>
          <w:szCs w:val="28"/>
        </w:rPr>
      </w:pPr>
    </w:p>
    <w:p w14:paraId="731AF00C">
      <w:pPr>
        <w:widowControl/>
        <w:shd w:val="clear" w:color="auto" w:fill="FFFFFF"/>
        <w:tabs>
          <w:tab w:val="left" w:leader="dot" w:pos="8295"/>
        </w:tabs>
        <w:spacing w:line="240" w:lineRule="auto"/>
        <w:ind w:left="142" w:firstLine="560"/>
        <w:rPr>
          <w:rFonts w:hint="eastAsia" w:ascii="黑体" w:hAnsi="黑体" w:eastAsia="黑体" w:cs="方正小标宋_GBK"/>
          <w:szCs w:val="36"/>
          <w:lang w:val="en-US" w:eastAsia="zh-CN"/>
        </w:rPr>
      </w:pPr>
      <w:r>
        <w:rPr>
          <w:rFonts w:ascii="Times New Roman" w:hAnsi="Times New Roman" w:eastAsia="仿宋_GB2312"/>
          <w:sz w:val="28"/>
          <w:szCs w:val="28"/>
        </w:rPr>
        <w:br w:type="page"/>
      </w:r>
    </w:p>
    <w:p w14:paraId="5CD7989C">
      <w:pPr>
        <w:rPr>
          <w:rFonts w:hint="eastAsia" w:ascii="黑体" w:hAnsi="黑体" w:eastAsia="黑体" w:cs="方正小标宋_GBK"/>
          <w:bCs/>
          <w:sz w:val="36"/>
          <w:szCs w:val="36"/>
          <w:lang w:eastAsia="zh-CN"/>
        </w:rPr>
        <w:sectPr>
          <w:pgSz w:w="11906" w:h="16838"/>
          <w:pgMar w:top="1440" w:right="1800" w:bottom="1440" w:left="1800" w:header="851" w:footer="992" w:gutter="0"/>
          <w:cols w:space="720" w:num="1"/>
          <w:docGrid w:type="lines" w:linePitch="312" w:charSpace="0"/>
        </w:sectPr>
      </w:pPr>
    </w:p>
    <w:p w14:paraId="33BDD37C">
      <w:pPr>
        <w:pStyle w:val="5"/>
        <w:widowControl/>
        <w:spacing w:line="240" w:lineRule="auto"/>
        <w:ind w:left="143" w:firstLine="0" w:firstLineChars="0"/>
        <w:jc w:val="center"/>
        <w:rPr>
          <w:rFonts w:hint="eastAsia" w:ascii="仿宋" w:hAnsi="仿宋" w:eastAsia="方正仿宋_GB2312" w:cs="仿宋_GB2312"/>
          <w:kern w:val="0"/>
          <w:sz w:val="22"/>
          <w:lang w:eastAsia="zh-CN"/>
        </w:rPr>
      </w:pPr>
      <w:bookmarkStart w:id="1330" w:name="_Toc6847"/>
      <w:bookmarkStart w:id="1331" w:name="_Toc27372"/>
      <w:bookmarkStart w:id="1332" w:name="_Toc29623"/>
      <w:bookmarkStart w:id="1333" w:name="_Toc18299"/>
      <w:bookmarkStart w:id="1334" w:name="_Toc22392"/>
      <w:bookmarkStart w:id="1335" w:name="_Toc13044"/>
      <w:bookmarkStart w:id="1336" w:name="_Toc27569"/>
      <w:bookmarkStart w:id="1337" w:name="_Toc28655"/>
      <w:bookmarkStart w:id="1338" w:name="_Toc7536"/>
      <w:bookmarkStart w:id="1339" w:name="_Toc32562"/>
      <w:bookmarkStart w:id="1340" w:name="_Toc26932"/>
      <w:bookmarkStart w:id="1341" w:name="_Toc19956"/>
      <w:bookmarkStart w:id="1342" w:name="_Toc19568"/>
      <w:r>
        <w:rPr>
          <w:rFonts w:ascii="黑体" w:hAnsi="黑体" w:cs="黑体"/>
          <w:bCs w:val="0"/>
        </w:rPr>
        <w:drawing>
          <wp:anchor distT="0" distB="0" distL="114300" distR="114300" simplePos="0" relativeHeight="251663360" behindDoc="0" locked="0" layoutInCell="1" allowOverlap="1">
            <wp:simplePos x="0" y="0"/>
            <wp:positionH relativeFrom="column">
              <wp:posOffset>476250</wp:posOffset>
            </wp:positionH>
            <wp:positionV relativeFrom="paragraph">
              <wp:posOffset>-450850</wp:posOffset>
            </wp:positionV>
            <wp:extent cx="8044815" cy="6012180"/>
            <wp:effectExtent l="0" t="0" r="13335" b="7620"/>
            <wp:wrapSquare wrapText="bothSides"/>
            <wp:docPr id="2" name="图片 2" descr="421223崇阳县01县域国土空间总体格局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21223崇阳县01县域国土空间总体格局规划图"/>
                    <pic:cNvPicPr>
                      <a:picLocks noChangeAspect="1"/>
                    </pic:cNvPicPr>
                  </pic:nvPicPr>
                  <pic:blipFill>
                    <a:blip r:embed="rId13"/>
                    <a:stretch>
                      <a:fillRect/>
                    </a:stretch>
                  </pic:blipFill>
                  <pic:spPr>
                    <a:xfrm>
                      <a:off x="0" y="0"/>
                      <a:ext cx="8044815" cy="6012180"/>
                    </a:xfrm>
                    <a:prstGeom prst="rect">
                      <a:avLst/>
                    </a:prstGeom>
                  </pic:spPr>
                </pic:pic>
              </a:graphicData>
            </a:graphic>
          </wp:anchor>
        </w:drawing>
      </w:r>
      <w:r>
        <w:rPr>
          <w:rFonts w:ascii="黑体" w:hAnsi="黑体" w:cs="黑体"/>
          <w:bCs w:val="0"/>
        </w:rPr>
        <w:br w:type="page"/>
      </w:r>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14:paraId="396FB3B8">
      <w:pPr>
        <w:pStyle w:val="5"/>
        <w:widowControl/>
        <w:spacing w:line="240" w:lineRule="auto"/>
        <w:ind w:left="143" w:firstLine="0" w:firstLineChars="0"/>
        <w:jc w:val="center"/>
        <w:rPr>
          <w:rFonts w:hint="eastAsia" w:ascii="仿宋" w:hAnsi="仿宋" w:eastAsia="方正仿宋_GB2312" w:cs="仿宋_GB2312"/>
          <w:kern w:val="0"/>
          <w:sz w:val="22"/>
          <w:lang w:eastAsia="zh-CN"/>
        </w:rPr>
      </w:pPr>
      <w:r>
        <w:rPr>
          <w:rFonts w:hint="eastAsia" w:ascii="仿宋" w:hAnsi="仿宋" w:eastAsia="方正仿宋_GB2312" w:cs="仿宋_GB2312"/>
          <w:kern w:val="0"/>
          <w:sz w:val="22"/>
          <w:lang w:eastAsia="zh-CN"/>
        </w:rPr>
        <w:drawing>
          <wp:anchor distT="0" distB="0" distL="114300" distR="114300" simplePos="0" relativeHeight="251662336" behindDoc="0" locked="0" layoutInCell="1" allowOverlap="1">
            <wp:simplePos x="0" y="0"/>
            <wp:positionH relativeFrom="column">
              <wp:posOffset>535305</wp:posOffset>
            </wp:positionH>
            <wp:positionV relativeFrom="paragraph">
              <wp:posOffset>-459740</wp:posOffset>
            </wp:positionV>
            <wp:extent cx="8045450" cy="6012180"/>
            <wp:effectExtent l="0" t="0" r="12700" b="7620"/>
            <wp:wrapSquare wrapText="bothSides"/>
            <wp:docPr id="6" name="图片 6" descr="421223崇阳县02县域国土空间控制线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21223崇阳县02县域国土空间控制线规划图"/>
                    <pic:cNvPicPr>
                      <a:picLocks noChangeAspect="1"/>
                    </pic:cNvPicPr>
                  </pic:nvPicPr>
                  <pic:blipFill>
                    <a:blip r:embed="rId14"/>
                    <a:stretch>
                      <a:fillRect/>
                    </a:stretch>
                  </pic:blipFill>
                  <pic:spPr>
                    <a:xfrm>
                      <a:off x="0" y="0"/>
                      <a:ext cx="8045450" cy="6012180"/>
                    </a:xfrm>
                    <a:prstGeom prst="rect">
                      <a:avLst/>
                    </a:prstGeom>
                  </pic:spPr>
                </pic:pic>
              </a:graphicData>
            </a:graphic>
          </wp:anchor>
        </w:drawing>
      </w:r>
    </w:p>
    <w:p w14:paraId="33B06E7B">
      <w:pPr>
        <w:pStyle w:val="5"/>
        <w:widowControl/>
        <w:spacing w:line="240" w:lineRule="auto"/>
        <w:ind w:left="143" w:firstLine="0" w:firstLineChars="0"/>
        <w:jc w:val="center"/>
        <w:rPr>
          <w:rFonts w:hint="eastAsia" w:ascii="仿宋" w:hAnsi="仿宋" w:eastAsia="方正仿宋_GB2312" w:cs="仿宋_GB2312"/>
          <w:kern w:val="0"/>
          <w:sz w:val="22"/>
          <w:lang w:eastAsia="zh-CN"/>
        </w:rPr>
      </w:pPr>
    </w:p>
    <w:p w14:paraId="720D2341">
      <w:pPr>
        <w:pStyle w:val="5"/>
        <w:widowControl/>
        <w:spacing w:line="240" w:lineRule="auto"/>
        <w:ind w:left="143" w:firstLine="0" w:firstLineChars="0"/>
        <w:jc w:val="center"/>
        <w:rPr>
          <w:rFonts w:hint="eastAsia" w:ascii="仿宋" w:hAnsi="仿宋" w:eastAsia="方正仿宋_GB2312" w:cs="仿宋_GB2312"/>
          <w:kern w:val="0"/>
          <w:sz w:val="22"/>
          <w:lang w:eastAsia="zh-CN"/>
        </w:rPr>
      </w:pPr>
    </w:p>
    <w:p w14:paraId="0F9D972C">
      <w:pPr>
        <w:pStyle w:val="5"/>
        <w:widowControl/>
        <w:spacing w:line="240" w:lineRule="auto"/>
        <w:ind w:left="143" w:firstLine="0" w:firstLineChars="0"/>
        <w:jc w:val="center"/>
        <w:rPr>
          <w:rFonts w:hint="eastAsia" w:ascii="仿宋" w:hAnsi="仿宋" w:eastAsia="方正仿宋_GB2312" w:cs="仿宋_GB2312"/>
          <w:kern w:val="0"/>
          <w:sz w:val="22"/>
          <w:lang w:eastAsia="zh-CN"/>
        </w:rPr>
      </w:pPr>
    </w:p>
    <w:p w14:paraId="359C1AC2">
      <w:pPr>
        <w:rPr>
          <w:rFonts w:hint="eastAsia" w:ascii="仿宋" w:hAnsi="仿宋" w:eastAsia="方正仿宋_GB2312" w:cs="仿宋_GB2312"/>
          <w:kern w:val="0"/>
          <w:sz w:val="22"/>
          <w:lang w:eastAsia="zh-CN"/>
        </w:rPr>
      </w:pPr>
      <w:r>
        <w:rPr>
          <w:rFonts w:hint="eastAsia" w:ascii="仿宋" w:hAnsi="仿宋" w:eastAsia="方正仿宋_GB2312" w:cs="仿宋_GB2312"/>
          <w:kern w:val="0"/>
          <w:sz w:val="22"/>
          <w:lang w:eastAsia="zh-CN"/>
        </w:rPr>
        <w:br w:type="page"/>
      </w:r>
    </w:p>
    <w:p w14:paraId="2E359A38">
      <w:pPr>
        <w:pStyle w:val="5"/>
        <w:widowControl/>
        <w:spacing w:line="240" w:lineRule="auto"/>
        <w:ind w:left="143" w:firstLine="0" w:firstLineChars="0"/>
        <w:jc w:val="center"/>
        <w:rPr>
          <w:rFonts w:hint="eastAsia" w:ascii="仿宋" w:hAnsi="仿宋" w:eastAsia="方正仿宋_GB2312" w:cs="仿宋_GB2312"/>
          <w:kern w:val="0"/>
          <w:sz w:val="22"/>
          <w:lang w:eastAsia="zh-CN"/>
        </w:rPr>
      </w:pPr>
      <w:r>
        <w:rPr>
          <w:rFonts w:hint="eastAsia" w:ascii="仿宋" w:hAnsi="仿宋" w:eastAsia="方正仿宋_GB2312" w:cs="仿宋_GB2312"/>
          <w:kern w:val="0"/>
          <w:sz w:val="22"/>
          <w:lang w:eastAsia="zh-CN"/>
        </w:rPr>
        <w:drawing>
          <wp:anchor distT="0" distB="0" distL="114300" distR="114300" simplePos="0" relativeHeight="251661312" behindDoc="0" locked="0" layoutInCell="1" allowOverlap="1">
            <wp:simplePos x="0" y="0"/>
            <wp:positionH relativeFrom="column">
              <wp:posOffset>598805</wp:posOffset>
            </wp:positionH>
            <wp:positionV relativeFrom="paragraph">
              <wp:posOffset>-551180</wp:posOffset>
            </wp:positionV>
            <wp:extent cx="8045450" cy="6012180"/>
            <wp:effectExtent l="0" t="0" r="12700" b="7620"/>
            <wp:wrapSquare wrapText="bothSides"/>
            <wp:docPr id="7" name="图片 7" descr="421223崇阳县08县域农（牧）业空间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21223崇阳县08县域农（牧）业空间规划图"/>
                    <pic:cNvPicPr>
                      <a:picLocks noChangeAspect="1"/>
                    </pic:cNvPicPr>
                  </pic:nvPicPr>
                  <pic:blipFill>
                    <a:blip r:embed="rId15"/>
                    <a:stretch>
                      <a:fillRect/>
                    </a:stretch>
                  </pic:blipFill>
                  <pic:spPr>
                    <a:xfrm>
                      <a:off x="0" y="0"/>
                      <a:ext cx="8045450" cy="6012180"/>
                    </a:xfrm>
                    <a:prstGeom prst="rect">
                      <a:avLst/>
                    </a:prstGeom>
                  </pic:spPr>
                </pic:pic>
              </a:graphicData>
            </a:graphic>
          </wp:anchor>
        </w:drawing>
      </w:r>
    </w:p>
    <w:p w14:paraId="1FC1B163">
      <w:pPr>
        <w:pStyle w:val="5"/>
        <w:widowControl/>
        <w:spacing w:line="240" w:lineRule="auto"/>
        <w:ind w:left="143" w:firstLine="0" w:firstLineChars="0"/>
        <w:jc w:val="center"/>
        <w:rPr>
          <w:rFonts w:hint="eastAsia" w:ascii="仿宋" w:hAnsi="仿宋" w:eastAsia="方正仿宋_GB2312" w:cs="仿宋_GB2312"/>
          <w:kern w:val="0"/>
          <w:sz w:val="22"/>
          <w:lang w:eastAsia="zh-CN"/>
        </w:rPr>
      </w:pPr>
      <w:r>
        <w:rPr>
          <w:rFonts w:hint="eastAsia" w:ascii="仿宋" w:hAnsi="仿宋" w:eastAsia="方正仿宋_GB2312" w:cs="仿宋_GB2312"/>
          <w:kern w:val="0"/>
          <w:sz w:val="22"/>
          <w:lang w:eastAsia="zh-CN"/>
        </w:rPr>
        <w:drawing>
          <wp:anchor distT="0" distB="0" distL="114300" distR="114300" simplePos="0" relativeHeight="251660288" behindDoc="0" locked="0" layoutInCell="1" allowOverlap="1">
            <wp:simplePos x="0" y="0"/>
            <wp:positionH relativeFrom="column">
              <wp:posOffset>952500</wp:posOffset>
            </wp:positionH>
            <wp:positionV relativeFrom="paragraph">
              <wp:posOffset>36195</wp:posOffset>
            </wp:positionV>
            <wp:extent cx="7037705" cy="5259070"/>
            <wp:effectExtent l="0" t="0" r="10795" b="17780"/>
            <wp:wrapSquare wrapText="bothSides"/>
            <wp:docPr id="8" name="图片 8" descr="421223崇阳县15县域生态修复和综合整治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21223崇阳县15县域生态修复和综合整治规划图"/>
                    <pic:cNvPicPr>
                      <a:picLocks noChangeAspect="1"/>
                    </pic:cNvPicPr>
                  </pic:nvPicPr>
                  <pic:blipFill>
                    <a:blip r:embed="rId16"/>
                    <a:stretch>
                      <a:fillRect/>
                    </a:stretch>
                  </pic:blipFill>
                  <pic:spPr>
                    <a:xfrm>
                      <a:off x="0" y="0"/>
                      <a:ext cx="7037705" cy="5259070"/>
                    </a:xfrm>
                    <a:prstGeom prst="rect">
                      <a:avLst/>
                    </a:prstGeom>
                  </pic:spPr>
                </pic:pic>
              </a:graphicData>
            </a:graphic>
          </wp:anchor>
        </w:drawing>
      </w:r>
    </w:p>
    <w:p w14:paraId="07C042DB">
      <w:pPr>
        <w:rPr>
          <w:rFonts w:hint="eastAsia" w:ascii="仿宋" w:hAnsi="仿宋" w:eastAsia="方正仿宋_GB2312" w:cs="仿宋_GB2312"/>
          <w:kern w:val="0"/>
          <w:sz w:val="22"/>
          <w:lang w:eastAsia="zh-CN"/>
        </w:rPr>
      </w:pPr>
      <w:r>
        <w:rPr>
          <w:rFonts w:hint="eastAsia" w:ascii="仿宋" w:hAnsi="仿宋" w:eastAsia="方正仿宋_GB2312" w:cs="仿宋_GB2312"/>
          <w:kern w:val="0"/>
          <w:sz w:val="22"/>
          <w:lang w:eastAsia="zh-CN"/>
        </w:rPr>
        <w:br w:type="page"/>
      </w:r>
    </w:p>
    <w:p w14:paraId="514219D5">
      <w:pPr>
        <w:pStyle w:val="5"/>
        <w:widowControl/>
        <w:spacing w:line="240" w:lineRule="auto"/>
        <w:ind w:left="143" w:firstLine="0" w:firstLineChars="0"/>
        <w:jc w:val="center"/>
        <w:rPr>
          <w:rFonts w:hint="eastAsia" w:ascii="仿宋" w:hAnsi="仿宋" w:eastAsia="方正仿宋_GB2312" w:cs="仿宋_GB2312"/>
          <w:kern w:val="0"/>
          <w:sz w:val="22"/>
          <w:lang w:eastAsia="zh-CN"/>
        </w:rPr>
      </w:pPr>
      <w:r>
        <w:rPr>
          <w:rFonts w:hint="eastAsia" w:ascii="仿宋" w:hAnsi="仿宋" w:eastAsia="方正仿宋_GB2312" w:cs="仿宋_GB2312"/>
          <w:kern w:val="0"/>
          <w:sz w:val="22"/>
          <w:lang w:eastAsia="zh-CN"/>
        </w:rPr>
        <w:drawing>
          <wp:anchor distT="0" distB="0" distL="114300" distR="114300" simplePos="0" relativeHeight="251664384" behindDoc="0" locked="0" layoutInCell="1" allowOverlap="1">
            <wp:simplePos x="0" y="0"/>
            <wp:positionH relativeFrom="column">
              <wp:posOffset>644525</wp:posOffset>
            </wp:positionH>
            <wp:positionV relativeFrom="paragraph">
              <wp:posOffset>-523875</wp:posOffset>
            </wp:positionV>
            <wp:extent cx="8045450" cy="6012180"/>
            <wp:effectExtent l="0" t="0" r="12700" b="7620"/>
            <wp:wrapSquare wrapText="bothSides"/>
            <wp:docPr id="12" name="图片 12" descr="421223崇阳县42乡级行政区主体功能定位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421223崇阳县42乡级行政区主体功能定位分布图"/>
                    <pic:cNvPicPr>
                      <a:picLocks noChangeAspect="1"/>
                    </pic:cNvPicPr>
                  </pic:nvPicPr>
                  <pic:blipFill>
                    <a:blip r:embed="rId17"/>
                    <a:stretch>
                      <a:fillRect/>
                    </a:stretch>
                  </pic:blipFill>
                  <pic:spPr>
                    <a:xfrm>
                      <a:off x="0" y="0"/>
                      <a:ext cx="8045450" cy="6012180"/>
                    </a:xfrm>
                    <a:prstGeom prst="rect">
                      <a:avLst/>
                    </a:prstGeom>
                  </pic:spPr>
                </pic:pic>
              </a:graphicData>
            </a:graphic>
          </wp:anchor>
        </w:drawing>
      </w:r>
    </w:p>
    <w:p w14:paraId="378FD475">
      <w:pPr>
        <w:pStyle w:val="5"/>
        <w:widowControl/>
        <w:spacing w:line="240" w:lineRule="auto"/>
        <w:ind w:left="143" w:firstLine="0" w:firstLineChars="0"/>
        <w:jc w:val="center"/>
        <w:rPr>
          <w:rFonts w:hint="eastAsia" w:ascii="仿宋" w:hAnsi="仿宋" w:eastAsia="方正仿宋_GB2312" w:cs="仿宋_GB2312"/>
          <w:kern w:val="0"/>
          <w:sz w:val="22"/>
          <w:lang w:eastAsia="zh-CN"/>
        </w:rPr>
      </w:pPr>
    </w:p>
    <w:p w14:paraId="1A70C0CD">
      <w:pPr>
        <w:rPr>
          <w:rFonts w:hint="eastAsia" w:ascii="仿宋" w:hAnsi="仿宋" w:eastAsia="方正仿宋_GB2312" w:cs="仿宋_GB2312"/>
          <w:kern w:val="0"/>
          <w:sz w:val="22"/>
          <w:lang w:eastAsia="zh-CN"/>
        </w:rPr>
      </w:pPr>
      <w:r>
        <w:rPr>
          <w:rFonts w:hint="eastAsia" w:ascii="仿宋" w:hAnsi="仿宋" w:eastAsia="方正仿宋_GB2312" w:cs="仿宋_GB2312"/>
          <w:kern w:val="0"/>
          <w:sz w:val="22"/>
          <w:lang w:eastAsia="zh-CN"/>
        </w:rPr>
        <w:br w:type="page"/>
      </w:r>
      <w:r>
        <w:rPr>
          <w:rFonts w:hint="eastAsia" w:ascii="仿宋" w:hAnsi="仿宋" w:eastAsia="方正仿宋_GB2312" w:cs="仿宋_GB2312"/>
          <w:kern w:val="0"/>
          <w:sz w:val="22"/>
          <w:lang w:eastAsia="zh-CN"/>
        </w:rPr>
        <w:drawing>
          <wp:anchor distT="0" distB="0" distL="114300" distR="114300" simplePos="0" relativeHeight="251659264" behindDoc="0" locked="0" layoutInCell="1" allowOverlap="1">
            <wp:simplePos x="0" y="0"/>
            <wp:positionH relativeFrom="column">
              <wp:posOffset>547370</wp:posOffset>
            </wp:positionH>
            <wp:positionV relativeFrom="paragraph">
              <wp:posOffset>-454660</wp:posOffset>
            </wp:positionV>
            <wp:extent cx="8044815" cy="6012180"/>
            <wp:effectExtent l="0" t="0" r="13335" b="7620"/>
            <wp:wrapSquare wrapText="bothSides"/>
            <wp:docPr id="10" name="图片 10" descr="421223崇阳县45县域国土空间用地规划分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21223崇阳县45县域国土空间用地规划分区图"/>
                    <pic:cNvPicPr>
                      <a:picLocks noChangeAspect="1"/>
                    </pic:cNvPicPr>
                  </pic:nvPicPr>
                  <pic:blipFill>
                    <a:blip r:embed="rId18"/>
                    <a:stretch>
                      <a:fillRect/>
                    </a:stretch>
                  </pic:blipFill>
                  <pic:spPr>
                    <a:xfrm>
                      <a:off x="0" y="0"/>
                      <a:ext cx="8044815" cy="6012180"/>
                    </a:xfrm>
                    <a:prstGeom prst="rect">
                      <a:avLst/>
                    </a:prstGeom>
                  </pic:spPr>
                </pic:pic>
              </a:graphicData>
            </a:graphic>
          </wp:anchor>
        </w:drawing>
      </w:r>
      <w:r>
        <w:rPr>
          <w:rFonts w:hint="eastAsia" w:ascii="仿宋" w:hAnsi="仿宋" w:eastAsia="方正仿宋_GB2312" w:cs="仿宋_GB2312"/>
          <w:kern w:val="0"/>
          <w:sz w:val="22"/>
          <w:lang w:eastAsia="zh-CN"/>
        </w:rPr>
        <w:drawing>
          <wp:inline distT="0" distB="0" distL="114300" distR="114300">
            <wp:extent cx="7037705" cy="5259070"/>
            <wp:effectExtent l="0" t="0" r="10795" b="17780"/>
            <wp:docPr id="11" name="图片 11" descr="421223崇阳县42乡级行政区主体功能定位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21223崇阳县42乡级行政区主体功能定位分布图"/>
                    <pic:cNvPicPr>
                      <a:picLocks noChangeAspect="1"/>
                    </pic:cNvPicPr>
                  </pic:nvPicPr>
                  <pic:blipFill>
                    <a:blip r:embed="rId17"/>
                    <a:stretch>
                      <a:fillRect/>
                    </a:stretch>
                  </pic:blipFill>
                  <pic:spPr>
                    <a:xfrm>
                      <a:off x="0" y="0"/>
                      <a:ext cx="7037705" cy="5259070"/>
                    </a:xfrm>
                    <a:prstGeom prst="rect">
                      <a:avLst/>
                    </a:prstGeom>
                  </pic:spPr>
                </pic:pic>
              </a:graphicData>
            </a:graphic>
          </wp:inline>
        </w:drawing>
      </w:r>
    </w:p>
    <w:p w14:paraId="5430CEFD">
      <w:pPr>
        <w:pStyle w:val="5"/>
        <w:widowControl/>
        <w:spacing w:line="240" w:lineRule="auto"/>
        <w:ind w:left="143" w:firstLine="0" w:firstLineChars="0"/>
        <w:jc w:val="center"/>
        <w:rPr>
          <w:rFonts w:hint="eastAsia" w:ascii="仿宋" w:hAnsi="仿宋" w:eastAsia="方正仿宋_GB2312" w:cs="仿宋_GB2312"/>
          <w:kern w:val="0"/>
          <w:sz w:val="22"/>
          <w:lang w:eastAsia="zh-CN"/>
        </w:rPr>
      </w:pPr>
    </w:p>
    <w:sectPr>
      <w:pgSz w:w="16838" w:h="11906" w:orient="landscape"/>
      <w:pgMar w:top="1800" w:right="1440" w:bottom="1800" w:left="144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34C217-B0A6-4BBF-91A1-13E80536D2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2312">
    <w:panose1 w:val="02000000000000000000"/>
    <w:charset w:val="86"/>
    <w:family w:val="auto"/>
    <w:pitch w:val="default"/>
    <w:sig w:usb0="A00002BF" w:usb1="184F6CFA" w:usb2="00000012" w:usb3="00000000" w:csb0="00040001" w:csb1="00000000"/>
    <w:embedRegular r:id="rId2" w:fontKey="{11F93369-0963-450B-828D-9E4603DFC99E}"/>
  </w:font>
  <w:font w:name="方正小标宋_GBK">
    <w:panose1 w:val="03000509000000000000"/>
    <w:charset w:val="86"/>
    <w:family w:val="script"/>
    <w:pitch w:val="default"/>
    <w:sig w:usb0="00000001" w:usb1="080E0000" w:usb2="00000000" w:usb3="00000000" w:csb0="00040000" w:csb1="00000000"/>
    <w:embedRegular r:id="rId3" w:fontKey="{04000EF5-82F6-4E99-A147-107ECBAD0553}"/>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embedRegular r:id="rId4" w:fontKey="{0FE5039B-8FD1-4E52-AAEE-616A07B3074B}"/>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5" w:fontKey="{B83B5D23-8C4E-4D3C-8285-B1003EEF7B1E}"/>
  </w:font>
  <w:font w:name="仿宋_GB2312">
    <w:panose1 w:val="02010609030101010101"/>
    <w:charset w:val="86"/>
    <w:family w:val="modern"/>
    <w:pitch w:val="default"/>
    <w:sig w:usb0="00000001" w:usb1="080E0000" w:usb2="00000000" w:usb3="00000000" w:csb0="00040000" w:csb1="00000000"/>
    <w:embedRegular r:id="rId6" w:fontKey="{D02A456C-0D80-4C9B-B1F7-8987FE287848}"/>
  </w:font>
  <w:font w:name="微软雅黑">
    <w:panose1 w:val="020B0503020204020204"/>
    <w:charset w:val="86"/>
    <w:family w:val="swiss"/>
    <w:pitch w:val="default"/>
    <w:sig w:usb0="80000287" w:usb1="2ACF3C50" w:usb2="00000016" w:usb3="00000000" w:csb0="0004001F" w:csb1="00000000"/>
  </w:font>
  <w:font w:name="WPSEMBED2">
    <w:panose1 w:val="03000509000000000000"/>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WPSEMBED1">
    <w:panose1 w:val="02000000000000000000"/>
    <w:charset w:val="86"/>
    <w:family w:val="auto"/>
    <w:pitch w:val="default"/>
    <w:sig w:usb0="A00002BF" w:usb1="184F6CFA" w:usb2="00000012" w:usb3="00000000" w:csb0="00040001" w:csb1="00000000"/>
  </w:font>
  <w:font w:name="WPSEMBED3">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楷体_GB2312">
    <w:altName w:val=""/>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F78AC">
    <w:pPr>
      <w:pStyle w:val="18"/>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C72660">
                          <w:pPr>
                            <w:pStyle w:val="18"/>
                            <w:ind w:firstLine="360"/>
                          </w:pPr>
                          <w:r>
                            <w:fldChar w:fldCharType="begin"/>
                          </w:r>
                          <w:r>
                            <w:instrText xml:space="preserve"> PAGE  \* MERGEFORMAT </w:instrText>
                          </w:r>
                          <w:r>
                            <w:fldChar w:fldCharType="separate"/>
                          </w:r>
                          <w:r>
                            <w:t>IV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07C72660">
                    <w:pPr>
                      <w:pStyle w:val="18"/>
                      <w:ind w:firstLine="360"/>
                    </w:pPr>
                    <w:r>
                      <w:fldChar w:fldCharType="begin"/>
                    </w:r>
                    <w:r>
                      <w:instrText xml:space="preserve"> PAGE  \* MERGEFORMAT </w:instrText>
                    </w:r>
                    <w:r>
                      <w:fldChar w:fldCharType="separate"/>
                    </w:r>
                    <w:r>
                      <w:t>IV</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AA209">
    <w:pPr>
      <w:pStyle w:val="18"/>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FE6729">
                          <w:pPr>
                            <w:pStyle w:val="18"/>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35FE6729">
                    <w:pPr>
                      <w:pStyle w:val="18"/>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CA023">
    <w:pPr>
      <w:pStyle w:val="18"/>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8759DBE">
                          <w:pPr>
                            <w:pStyle w:val="18"/>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78759DBE">
                    <w:pPr>
                      <w:pStyle w:val="18"/>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177CB">
    <w:pPr>
      <w:pStyle w:val="18"/>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2" name="文本框 11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0271AEE">
                          <w:pPr>
                            <w:pStyle w:val="18"/>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37</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1FH5A1AgAAaQQAAA4AAABkcnMvZTJvRG9jLnhtbK1UzY7TMBC+I/EO&#10;lu80bRGrUjVdla2KkCp2pYI4u47TRPKfbLdJeQB4A05cuO9z9Tn47DQtWjjsgYsznhl/M/PNTGa3&#10;rZLkIJyvjc7paDCkRGhuilrvcvr50+rVhBIfmC6YNFrk9Cg8vZ2/fDFr7FSMTWVkIRwBiPbTxua0&#10;CsFOs8zzSijmB8YKDWNpnGIBV7fLCscaoCuZjYfDm6wxrrDOcOE9tMvOSM+I7jmApixrLpaG75XQ&#10;oUN1QrKAknxVW0/nKduyFDzcl6UXgcicotKQTgSBvI1nNp+x6c4xW9X8nAJ7TgpPalKs1gh6gVqy&#10;wMje1X9BqZo7400ZBtyorCskMYIqRsMn3GwqZkWqBVR7eyHd/z9Y/vHw4EhdYBJGb8eUaKbQ89OP&#10;76efj6df30jSgqTG+il8NxbeoX1nWjyI5EW9hzLW3pZOxS+qIrCD4uOFYtEGwuOjyXgyGcLEYesv&#10;wMmuz63z4b0wikQhpw49TNSyw9qHzrV3idG0WdVSQs+mUpMmpzev3wzTg4sF4FJHB5Em4gxzTT1K&#10;od2253q2pjiiTGe6afGWr2qksmY+PDCH8UD6WKBwj6OUBiHNWaKkMu7rv/TRH12DlZIG45ZTje2i&#10;RH7Q6CYAQy+4Xtj2gt6rO4P5HWExLU8iHrgge7F0Rn3BVi1iDJiY5oiU09CLd6EbeWwlF4tFcsL8&#10;WRbWemN5hI70eLvYB9CZWI6kdEygO/GCCUx9Om9LHPE/78nr+oe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7UUfkDUCAABpBAAADgAAAAAAAAABACAAAAAfAQAAZHJzL2Uyb0RvYy54bWxQ&#10;SwUGAAAAAAYABgBZAQAAxgUAAAAA&#10;">
              <v:fill on="f" focussize="0,0"/>
              <v:stroke on="f" weight="0.5pt"/>
              <v:imagedata o:title=""/>
              <o:lock v:ext="edit" aspectratio="f"/>
              <v:textbox inset="0mm,0mm,0mm,0mm" style="mso-fit-shape-to-text:t;">
                <w:txbxContent>
                  <w:p w14:paraId="20271AEE">
                    <w:pPr>
                      <w:pStyle w:val="18"/>
                      <w:ind w:firstLine="360"/>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37</w:t>
                    </w:r>
                    <w:r>
                      <w:rPr>
                        <w:rFonts w:ascii="Times New Roman" w:hAnsi="Times New Roma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3449C">
    <w:pPr>
      <w:pStyle w:val="19"/>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CA34">
    <w:pPr>
      <w:pStyle w:val="19"/>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46E86">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E38218"/>
    <w:multiLevelType w:val="multilevel"/>
    <w:tmpl w:val="03E38218"/>
    <w:lvl w:ilvl="0" w:tentative="0">
      <w:start w:val="1"/>
      <w:numFmt w:val="decimal"/>
      <w:pStyle w:val="4"/>
      <w:suff w:val="nothing"/>
      <w:lvlText w:val="第 %1 条 "/>
      <w:lvlJc w:val="left"/>
      <w:pPr>
        <w:ind w:left="1145" w:hanging="436"/>
      </w:pPr>
      <w:rPr>
        <w:rFonts w:hint="default" w:eastAsia="楷体_GB2312"/>
        <w:color w:val="auto"/>
        <w:spacing w:val="-36"/>
        <w:sz w:val="32"/>
      </w:rPr>
    </w:lvl>
    <w:lvl w:ilvl="1" w:tentative="0">
      <w:start w:val="1"/>
      <w:numFmt w:val="lowerLetter"/>
      <w:lvlText w:val="%2)"/>
      <w:lvlJc w:val="left"/>
      <w:pPr>
        <w:tabs>
          <w:tab w:val="left" w:pos="1697"/>
        </w:tabs>
        <w:ind w:left="1582" w:firstLine="840"/>
      </w:pPr>
      <w:rPr>
        <w:rFonts w:hint="eastAsia"/>
      </w:rPr>
    </w:lvl>
    <w:lvl w:ilvl="2" w:tentative="0">
      <w:start w:val="1"/>
      <w:numFmt w:val="lowerRoman"/>
      <w:lvlText w:val="%3."/>
      <w:lvlJc w:val="right"/>
      <w:pPr>
        <w:tabs>
          <w:tab w:val="left" w:pos="1697"/>
        </w:tabs>
        <w:ind w:left="2019" w:firstLine="840"/>
      </w:pPr>
      <w:rPr>
        <w:rFonts w:hint="eastAsia"/>
      </w:rPr>
    </w:lvl>
    <w:lvl w:ilvl="3" w:tentative="0">
      <w:start w:val="1"/>
      <w:numFmt w:val="decimal"/>
      <w:lvlText w:val="%4."/>
      <w:lvlJc w:val="left"/>
      <w:pPr>
        <w:tabs>
          <w:tab w:val="left" w:pos="1697"/>
        </w:tabs>
        <w:ind w:left="2456" w:firstLine="840"/>
      </w:pPr>
      <w:rPr>
        <w:rFonts w:hint="eastAsia"/>
      </w:rPr>
    </w:lvl>
    <w:lvl w:ilvl="4" w:tentative="0">
      <w:start w:val="1"/>
      <w:numFmt w:val="lowerLetter"/>
      <w:lvlText w:val="%5)"/>
      <w:lvlJc w:val="left"/>
      <w:pPr>
        <w:tabs>
          <w:tab w:val="left" w:pos="1697"/>
        </w:tabs>
        <w:ind w:left="2893" w:firstLine="840"/>
      </w:pPr>
      <w:rPr>
        <w:rFonts w:hint="eastAsia"/>
      </w:rPr>
    </w:lvl>
    <w:lvl w:ilvl="5" w:tentative="0">
      <w:start w:val="1"/>
      <w:numFmt w:val="lowerRoman"/>
      <w:lvlText w:val="%6."/>
      <w:lvlJc w:val="right"/>
      <w:pPr>
        <w:tabs>
          <w:tab w:val="left" w:pos="1697"/>
        </w:tabs>
        <w:ind w:left="3330" w:firstLine="840"/>
      </w:pPr>
      <w:rPr>
        <w:rFonts w:hint="eastAsia"/>
      </w:rPr>
    </w:lvl>
    <w:lvl w:ilvl="6" w:tentative="0">
      <w:start w:val="1"/>
      <w:numFmt w:val="decimal"/>
      <w:lvlText w:val="%7."/>
      <w:lvlJc w:val="left"/>
      <w:pPr>
        <w:tabs>
          <w:tab w:val="left" w:pos="1697"/>
        </w:tabs>
        <w:ind w:left="3767" w:firstLine="840"/>
      </w:pPr>
      <w:rPr>
        <w:rFonts w:hint="eastAsia"/>
      </w:rPr>
    </w:lvl>
    <w:lvl w:ilvl="7" w:tentative="0">
      <w:start w:val="1"/>
      <w:numFmt w:val="lowerLetter"/>
      <w:lvlText w:val="%8)"/>
      <w:lvlJc w:val="left"/>
      <w:pPr>
        <w:tabs>
          <w:tab w:val="left" w:pos="1697"/>
        </w:tabs>
        <w:ind w:left="4204" w:firstLine="840"/>
      </w:pPr>
      <w:rPr>
        <w:rFonts w:hint="eastAsia"/>
      </w:rPr>
    </w:lvl>
    <w:lvl w:ilvl="8" w:tentative="0">
      <w:start w:val="1"/>
      <w:numFmt w:val="lowerRoman"/>
      <w:lvlText w:val="%9."/>
      <w:lvlJc w:val="right"/>
      <w:pPr>
        <w:tabs>
          <w:tab w:val="left" w:pos="1697"/>
        </w:tabs>
        <w:ind w:left="4641" w:firstLine="840"/>
      </w:pPr>
      <w:rPr>
        <w:rFonts w:hint="eastAsia"/>
      </w:rPr>
    </w:lvl>
  </w:abstractNum>
  <w:abstractNum w:abstractNumId="1">
    <w:nsid w:val="36EF2459"/>
    <w:multiLevelType w:val="multilevel"/>
    <w:tmpl w:val="36EF2459"/>
    <w:lvl w:ilvl="0" w:tentative="0">
      <w:start w:val="1"/>
      <w:numFmt w:val="decimal"/>
      <w:pStyle w:val="110"/>
      <w:lvlText w:val="专栏%1"/>
      <w:lvlJc w:val="left"/>
      <w:pPr>
        <w:ind w:left="1080" w:hanging="440"/>
      </w:pPr>
      <w:rPr>
        <w:rFonts w:hint="eastAsia" w:ascii="黑体" w:hAnsi="黑体" w:eastAsia="黑体"/>
        <w:sz w:val="32"/>
        <w:szCs w:val="32"/>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2">
    <w:nsid w:val="5BD536AB"/>
    <w:multiLevelType w:val="multilevel"/>
    <w:tmpl w:val="5BD536AB"/>
    <w:lvl w:ilvl="0" w:tentative="0">
      <w:start w:val="1"/>
      <w:numFmt w:val="decimal"/>
      <w:pStyle w:val="65"/>
      <w:suff w:val="nothing"/>
      <w:lvlText w:val="（%1）"/>
      <w:lvlJc w:val="left"/>
      <w:pPr>
        <w:ind w:left="426" w:firstLine="0"/>
      </w:pPr>
      <w:rPr>
        <w:rFonts w:hint="eastAsia"/>
        <w:b/>
        <w:bCs w:val="0"/>
        <w:i w:val="0"/>
        <w:iCs w:val="0"/>
        <w:caps w:val="0"/>
        <w:smallCaps w:val="0"/>
        <w:strike w:val="0"/>
        <w:dstrike w:val="0"/>
        <w:vanish w:val="0"/>
        <w:color w:val="000000"/>
        <w:spacing w:val="0"/>
        <w:position w:val="0"/>
        <w:u w:val="none"/>
        <w:vertAlign w:val="baseline"/>
      </w:r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hYjAzNDU3NjdkOWU3NWZjNWIwNjU2NTg2MWI0YjUifQ=="/>
  </w:docVars>
  <w:rsids>
    <w:rsidRoot w:val="00172A27"/>
    <w:rsid w:val="000007EE"/>
    <w:rsid w:val="000078F4"/>
    <w:rsid w:val="00017B24"/>
    <w:rsid w:val="00022135"/>
    <w:rsid w:val="00024FA1"/>
    <w:rsid w:val="0004221D"/>
    <w:rsid w:val="0004608C"/>
    <w:rsid w:val="00046694"/>
    <w:rsid w:val="000558F0"/>
    <w:rsid w:val="0006517B"/>
    <w:rsid w:val="00066795"/>
    <w:rsid w:val="00073BDD"/>
    <w:rsid w:val="00074360"/>
    <w:rsid w:val="00074DEE"/>
    <w:rsid w:val="00083B4F"/>
    <w:rsid w:val="0008459E"/>
    <w:rsid w:val="00093893"/>
    <w:rsid w:val="00094A2E"/>
    <w:rsid w:val="000A1A4D"/>
    <w:rsid w:val="000B335E"/>
    <w:rsid w:val="000B6CDE"/>
    <w:rsid w:val="000D524C"/>
    <w:rsid w:val="000D567F"/>
    <w:rsid w:val="000D6647"/>
    <w:rsid w:val="000E2B14"/>
    <w:rsid w:val="000E4A54"/>
    <w:rsid w:val="000F0CD7"/>
    <w:rsid w:val="000F300B"/>
    <w:rsid w:val="000F34A7"/>
    <w:rsid w:val="00107273"/>
    <w:rsid w:val="001110F3"/>
    <w:rsid w:val="00111E64"/>
    <w:rsid w:val="00113359"/>
    <w:rsid w:val="00116816"/>
    <w:rsid w:val="001203B3"/>
    <w:rsid w:val="00130F44"/>
    <w:rsid w:val="001415C5"/>
    <w:rsid w:val="00146CF4"/>
    <w:rsid w:val="001522A1"/>
    <w:rsid w:val="001571EA"/>
    <w:rsid w:val="00172A27"/>
    <w:rsid w:val="00176E84"/>
    <w:rsid w:val="001909E7"/>
    <w:rsid w:val="001941FF"/>
    <w:rsid w:val="001A2B4C"/>
    <w:rsid w:val="001A59D2"/>
    <w:rsid w:val="001B21C0"/>
    <w:rsid w:val="001C57C0"/>
    <w:rsid w:val="001C5F8E"/>
    <w:rsid w:val="001D3080"/>
    <w:rsid w:val="001D4230"/>
    <w:rsid w:val="001D70DA"/>
    <w:rsid w:val="001D7A43"/>
    <w:rsid w:val="001E1274"/>
    <w:rsid w:val="001F6179"/>
    <w:rsid w:val="00203AAD"/>
    <w:rsid w:val="002053A0"/>
    <w:rsid w:val="0021739B"/>
    <w:rsid w:val="00224C12"/>
    <w:rsid w:val="00226605"/>
    <w:rsid w:val="00233DCC"/>
    <w:rsid w:val="002340A8"/>
    <w:rsid w:val="00235088"/>
    <w:rsid w:val="002409D8"/>
    <w:rsid w:val="00246188"/>
    <w:rsid w:val="002540BE"/>
    <w:rsid w:val="00254B5E"/>
    <w:rsid w:val="00255DED"/>
    <w:rsid w:val="002573A7"/>
    <w:rsid w:val="00260607"/>
    <w:rsid w:val="0027346C"/>
    <w:rsid w:val="002828E4"/>
    <w:rsid w:val="00290353"/>
    <w:rsid w:val="00294EBA"/>
    <w:rsid w:val="002974EC"/>
    <w:rsid w:val="002A2E28"/>
    <w:rsid w:val="002A7DA7"/>
    <w:rsid w:val="002B5948"/>
    <w:rsid w:val="002B5CDF"/>
    <w:rsid w:val="002C4C1E"/>
    <w:rsid w:val="002E2760"/>
    <w:rsid w:val="002E413A"/>
    <w:rsid w:val="002E423C"/>
    <w:rsid w:val="002F3C9F"/>
    <w:rsid w:val="002F5995"/>
    <w:rsid w:val="002F7A82"/>
    <w:rsid w:val="00303280"/>
    <w:rsid w:val="003041AD"/>
    <w:rsid w:val="00313B06"/>
    <w:rsid w:val="0031515A"/>
    <w:rsid w:val="00315EAA"/>
    <w:rsid w:val="00330AAB"/>
    <w:rsid w:val="00334D28"/>
    <w:rsid w:val="00341B13"/>
    <w:rsid w:val="003566E6"/>
    <w:rsid w:val="00370CCF"/>
    <w:rsid w:val="00374AB5"/>
    <w:rsid w:val="0037785C"/>
    <w:rsid w:val="00386B18"/>
    <w:rsid w:val="003A2998"/>
    <w:rsid w:val="003B13C7"/>
    <w:rsid w:val="003B4AB5"/>
    <w:rsid w:val="003B7463"/>
    <w:rsid w:val="003C7E5B"/>
    <w:rsid w:val="003D03E3"/>
    <w:rsid w:val="00402B9D"/>
    <w:rsid w:val="004105FD"/>
    <w:rsid w:val="00420A0D"/>
    <w:rsid w:val="00420AA4"/>
    <w:rsid w:val="00423C8E"/>
    <w:rsid w:val="004245C0"/>
    <w:rsid w:val="00431A3E"/>
    <w:rsid w:val="0043255A"/>
    <w:rsid w:val="00435109"/>
    <w:rsid w:val="004414B0"/>
    <w:rsid w:val="00477E50"/>
    <w:rsid w:val="00495CDC"/>
    <w:rsid w:val="004A0C8D"/>
    <w:rsid w:val="004A63B1"/>
    <w:rsid w:val="004B4AD3"/>
    <w:rsid w:val="004C0DAD"/>
    <w:rsid w:val="004E45CF"/>
    <w:rsid w:val="004F6DF0"/>
    <w:rsid w:val="005048C3"/>
    <w:rsid w:val="00504BCC"/>
    <w:rsid w:val="00510F80"/>
    <w:rsid w:val="005204D3"/>
    <w:rsid w:val="00535489"/>
    <w:rsid w:val="00547AB7"/>
    <w:rsid w:val="00551112"/>
    <w:rsid w:val="005542B1"/>
    <w:rsid w:val="00555FF7"/>
    <w:rsid w:val="00556B6A"/>
    <w:rsid w:val="005609AD"/>
    <w:rsid w:val="005679E9"/>
    <w:rsid w:val="00571758"/>
    <w:rsid w:val="0057419D"/>
    <w:rsid w:val="0057518A"/>
    <w:rsid w:val="00581D7E"/>
    <w:rsid w:val="00584C75"/>
    <w:rsid w:val="00586BB9"/>
    <w:rsid w:val="0059634F"/>
    <w:rsid w:val="005A4DB6"/>
    <w:rsid w:val="005B2348"/>
    <w:rsid w:val="005C462D"/>
    <w:rsid w:val="005C4E9C"/>
    <w:rsid w:val="005D2482"/>
    <w:rsid w:val="005D3A38"/>
    <w:rsid w:val="005D3AD8"/>
    <w:rsid w:val="005E2034"/>
    <w:rsid w:val="005E569F"/>
    <w:rsid w:val="005F4A00"/>
    <w:rsid w:val="005F5642"/>
    <w:rsid w:val="00601A94"/>
    <w:rsid w:val="00604B7A"/>
    <w:rsid w:val="006055FC"/>
    <w:rsid w:val="0061073E"/>
    <w:rsid w:val="00610D3B"/>
    <w:rsid w:val="00625EFE"/>
    <w:rsid w:val="006327F2"/>
    <w:rsid w:val="00633327"/>
    <w:rsid w:val="00640DA3"/>
    <w:rsid w:val="00656325"/>
    <w:rsid w:val="006575CF"/>
    <w:rsid w:val="00682784"/>
    <w:rsid w:val="00685F6C"/>
    <w:rsid w:val="006876EF"/>
    <w:rsid w:val="00694688"/>
    <w:rsid w:val="00694AE2"/>
    <w:rsid w:val="006A2624"/>
    <w:rsid w:val="006A38C2"/>
    <w:rsid w:val="006B27C1"/>
    <w:rsid w:val="006B3EFD"/>
    <w:rsid w:val="006C24F6"/>
    <w:rsid w:val="006C4D6C"/>
    <w:rsid w:val="006F0D06"/>
    <w:rsid w:val="006F47F9"/>
    <w:rsid w:val="006F4C3D"/>
    <w:rsid w:val="006F53CC"/>
    <w:rsid w:val="00715DEC"/>
    <w:rsid w:val="00717CDE"/>
    <w:rsid w:val="00724584"/>
    <w:rsid w:val="00725E14"/>
    <w:rsid w:val="00727A45"/>
    <w:rsid w:val="00763F05"/>
    <w:rsid w:val="00765F87"/>
    <w:rsid w:val="0076606A"/>
    <w:rsid w:val="0077232E"/>
    <w:rsid w:val="00785197"/>
    <w:rsid w:val="00792511"/>
    <w:rsid w:val="007944CD"/>
    <w:rsid w:val="00794AE2"/>
    <w:rsid w:val="007A0145"/>
    <w:rsid w:val="007A62B1"/>
    <w:rsid w:val="007A7188"/>
    <w:rsid w:val="007B0E7C"/>
    <w:rsid w:val="007B5977"/>
    <w:rsid w:val="007C22E3"/>
    <w:rsid w:val="007D0382"/>
    <w:rsid w:val="007D05D0"/>
    <w:rsid w:val="007D0F33"/>
    <w:rsid w:val="007D65E4"/>
    <w:rsid w:val="007E4775"/>
    <w:rsid w:val="007E739E"/>
    <w:rsid w:val="007F4237"/>
    <w:rsid w:val="00813DC8"/>
    <w:rsid w:val="00816972"/>
    <w:rsid w:val="00830E79"/>
    <w:rsid w:val="008330AD"/>
    <w:rsid w:val="00833474"/>
    <w:rsid w:val="008352A9"/>
    <w:rsid w:val="0084471C"/>
    <w:rsid w:val="00850A2F"/>
    <w:rsid w:val="00850AE0"/>
    <w:rsid w:val="00854E7E"/>
    <w:rsid w:val="008574B2"/>
    <w:rsid w:val="0086340B"/>
    <w:rsid w:val="00867939"/>
    <w:rsid w:val="008743BE"/>
    <w:rsid w:val="00874C64"/>
    <w:rsid w:val="008825F9"/>
    <w:rsid w:val="00884563"/>
    <w:rsid w:val="00895086"/>
    <w:rsid w:val="008B46F5"/>
    <w:rsid w:val="008C0A4E"/>
    <w:rsid w:val="008D18F1"/>
    <w:rsid w:val="008D28D3"/>
    <w:rsid w:val="008E3F0A"/>
    <w:rsid w:val="008F24D3"/>
    <w:rsid w:val="00906E95"/>
    <w:rsid w:val="00915414"/>
    <w:rsid w:val="009466E1"/>
    <w:rsid w:val="00950C02"/>
    <w:rsid w:val="00975CB2"/>
    <w:rsid w:val="00984CEF"/>
    <w:rsid w:val="00990931"/>
    <w:rsid w:val="00991666"/>
    <w:rsid w:val="009A0198"/>
    <w:rsid w:val="009A1B07"/>
    <w:rsid w:val="009B344B"/>
    <w:rsid w:val="009D2C19"/>
    <w:rsid w:val="009E0CDB"/>
    <w:rsid w:val="009F10E6"/>
    <w:rsid w:val="009F1392"/>
    <w:rsid w:val="009F6FB1"/>
    <w:rsid w:val="00A04807"/>
    <w:rsid w:val="00A078BE"/>
    <w:rsid w:val="00A12A3C"/>
    <w:rsid w:val="00A1417B"/>
    <w:rsid w:val="00A15505"/>
    <w:rsid w:val="00A16216"/>
    <w:rsid w:val="00A2153B"/>
    <w:rsid w:val="00A25E9E"/>
    <w:rsid w:val="00A6284C"/>
    <w:rsid w:val="00A71343"/>
    <w:rsid w:val="00A71F9D"/>
    <w:rsid w:val="00A82271"/>
    <w:rsid w:val="00A85B41"/>
    <w:rsid w:val="00A96A3E"/>
    <w:rsid w:val="00AB2D05"/>
    <w:rsid w:val="00AB3433"/>
    <w:rsid w:val="00AC4FC2"/>
    <w:rsid w:val="00AE3C05"/>
    <w:rsid w:val="00AF0269"/>
    <w:rsid w:val="00AF7945"/>
    <w:rsid w:val="00B12FD3"/>
    <w:rsid w:val="00B13618"/>
    <w:rsid w:val="00B24BD6"/>
    <w:rsid w:val="00B477DE"/>
    <w:rsid w:val="00B477E5"/>
    <w:rsid w:val="00B53BD3"/>
    <w:rsid w:val="00B55E2A"/>
    <w:rsid w:val="00B65405"/>
    <w:rsid w:val="00B73DDC"/>
    <w:rsid w:val="00B76F87"/>
    <w:rsid w:val="00B82DDE"/>
    <w:rsid w:val="00BA1CD7"/>
    <w:rsid w:val="00BA6985"/>
    <w:rsid w:val="00BB1225"/>
    <w:rsid w:val="00BB165B"/>
    <w:rsid w:val="00BB488F"/>
    <w:rsid w:val="00BB783C"/>
    <w:rsid w:val="00BC0127"/>
    <w:rsid w:val="00BC018C"/>
    <w:rsid w:val="00BC297E"/>
    <w:rsid w:val="00BC6401"/>
    <w:rsid w:val="00BD006F"/>
    <w:rsid w:val="00BD2A56"/>
    <w:rsid w:val="00BF12A7"/>
    <w:rsid w:val="00BF2BE2"/>
    <w:rsid w:val="00BF64DD"/>
    <w:rsid w:val="00BF73B7"/>
    <w:rsid w:val="00C00F11"/>
    <w:rsid w:val="00C03CBA"/>
    <w:rsid w:val="00C04C9C"/>
    <w:rsid w:val="00C244AC"/>
    <w:rsid w:val="00C519DD"/>
    <w:rsid w:val="00C6017A"/>
    <w:rsid w:val="00C703B8"/>
    <w:rsid w:val="00C73906"/>
    <w:rsid w:val="00C80BEB"/>
    <w:rsid w:val="00C91A12"/>
    <w:rsid w:val="00C96FDB"/>
    <w:rsid w:val="00C96FE7"/>
    <w:rsid w:val="00CA3D35"/>
    <w:rsid w:val="00CC2735"/>
    <w:rsid w:val="00CD4130"/>
    <w:rsid w:val="00CD6200"/>
    <w:rsid w:val="00CE14C6"/>
    <w:rsid w:val="00CE4D67"/>
    <w:rsid w:val="00CF68B9"/>
    <w:rsid w:val="00D00A9E"/>
    <w:rsid w:val="00D132E0"/>
    <w:rsid w:val="00D176AE"/>
    <w:rsid w:val="00D21B09"/>
    <w:rsid w:val="00D22567"/>
    <w:rsid w:val="00D24BC8"/>
    <w:rsid w:val="00D3038F"/>
    <w:rsid w:val="00D360D0"/>
    <w:rsid w:val="00D41410"/>
    <w:rsid w:val="00D424C9"/>
    <w:rsid w:val="00D46F4B"/>
    <w:rsid w:val="00D506C4"/>
    <w:rsid w:val="00D55C5D"/>
    <w:rsid w:val="00D73358"/>
    <w:rsid w:val="00D84E2A"/>
    <w:rsid w:val="00D9016E"/>
    <w:rsid w:val="00D973F8"/>
    <w:rsid w:val="00DA50DA"/>
    <w:rsid w:val="00DC0D5D"/>
    <w:rsid w:val="00DC0F4A"/>
    <w:rsid w:val="00DC148A"/>
    <w:rsid w:val="00DC3D57"/>
    <w:rsid w:val="00DC5EA0"/>
    <w:rsid w:val="00DD0785"/>
    <w:rsid w:val="00DD6902"/>
    <w:rsid w:val="00DD6C2E"/>
    <w:rsid w:val="00DD75F2"/>
    <w:rsid w:val="00DE5466"/>
    <w:rsid w:val="00DE6C3A"/>
    <w:rsid w:val="00DE7DCD"/>
    <w:rsid w:val="00E37B0C"/>
    <w:rsid w:val="00E40C92"/>
    <w:rsid w:val="00E54D07"/>
    <w:rsid w:val="00E63C7E"/>
    <w:rsid w:val="00E6485B"/>
    <w:rsid w:val="00E65838"/>
    <w:rsid w:val="00E663AB"/>
    <w:rsid w:val="00E7292A"/>
    <w:rsid w:val="00E742A7"/>
    <w:rsid w:val="00E81D0D"/>
    <w:rsid w:val="00E85923"/>
    <w:rsid w:val="00E86673"/>
    <w:rsid w:val="00E906A1"/>
    <w:rsid w:val="00EA0427"/>
    <w:rsid w:val="00EA6067"/>
    <w:rsid w:val="00EB209C"/>
    <w:rsid w:val="00ED2009"/>
    <w:rsid w:val="00ED310B"/>
    <w:rsid w:val="00EE1EB5"/>
    <w:rsid w:val="00EE2E07"/>
    <w:rsid w:val="00EF125F"/>
    <w:rsid w:val="00EF31EB"/>
    <w:rsid w:val="00EF678E"/>
    <w:rsid w:val="00F02D5A"/>
    <w:rsid w:val="00F0718C"/>
    <w:rsid w:val="00F0781C"/>
    <w:rsid w:val="00F134E1"/>
    <w:rsid w:val="00F144CE"/>
    <w:rsid w:val="00F15720"/>
    <w:rsid w:val="00F21BCE"/>
    <w:rsid w:val="00F27B47"/>
    <w:rsid w:val="00F34C2F"/>
    <w:rsid w:val="00F36438"/>
    <w:rsid w:val="00F37AD1"/>
    <w:rsid w:val="00F41EAE"/>
    <w:rsid w:val="00F50562"/>
    <w:rsid w:val="00F51711"/>
    <w:rsid w:val="00F56414"/>
    <w:rsid w:val="00F60778"/>
    <w:rsid w:val="00F76917"/>
    <w:rsid w:val="00F9227A"/>
    <w:rsid w:val="00F942CE"/>
    <w:rsid w:val="00FA61CA"/>
    <w:rsid w:val="00FB6D19"/>
    <w:rsid w:val="00FC6922"/>
    <w:rsid w:val="00FD0DA0"/>
    <w:rsid w:val="00FD242E"/>
    <w:rsid w:val="00FD606D"/>
    <w:rsid w:val="00FD7F9C"/>
    <w:rsid w:val="00FE27ED"/>
    <w:rsid w:val="00FE34D1"/>
    <w:rsid w:val="00FE4073"/>
    <w:rsid w:val="00FF0C92"/>
    <w:rsid w:val="00FF2551"/>
    <w:rsid w:val="00FF6DC9"/>
    <w:rsid w:val="010636CF"/>
    <w:rsid w:val="011B438B"/>
    <w:rsid w:val="011D74CB"/>
    <w:rsid w:val="012D2227"/>
    <w:rsid w:val="014E2890"/>
    <w:rsid w:val="01560C2D"/>
    <w:rsid w:val="01723D75"/>
    <w:rsid w:val="01735D0B"/>
    <w:rsid w:val="01797E85"/>
    <w:rsid w:val="01890CCD"/>
    <w:rsid w:val="018E53A2"/>
    <w:rsid w:val="01A05044"/>
    <w:rsid w:val="01B3241C"/>
    <w:rsid w:val="01B84850"/>
    <w:rsid w:val="01C30327"/>
    <w:rsid w:val="01CE0943"/>
    <w:rsid w:val="01E039E1"/>
    <w:rsid w:val="020200B2"/>
    <w:rsid w:val="02085785"/>
    <w:rsid w:val="02477318"/>
    <w:rsid w:val="0248052C"/>
    <w:rsid w:val="02783329"/>
    <w:rsid w:val="02847270"/>
    <w:rsid w:val="0286026A"/>
    <w:rsid w:val="028F2A24"/>
    <w:rsid w:val="029343DF"/>
    <w:rsid w:val="02990AB0"/>
    <w:rsid w:val="029B4694"/>
    <w:rsid w:val="02AA0744"/>
    <w:rsid w:val="02C61E28"/>
    <w:rsid w:val="02CC5D74"/>
    <w:rsid w:val="02E12DDC"/>
    <w:rsid w:val="030B32A1"/>
    <w:rsid w:val="03101E00"/>
    <w:rsid w:val="031055EF"/>
    <w:rsid w:val="032958C6"/>
    <w:rsid w:val="032A2EC2"/>
    <w:rsid w:val="0334233C"/>
    <w:rsid w:val="03410E7C"/>
    <w:rsid w:val="035073D1"/>
    <w:rsid w:val="03541B4C"/>
    <w:rsid w:val="036068E4"/>
    <w:rsid w:val="038F5202"/>
    <w:rsid w:val="03C52F77"/>
    <w:rsid w:val="03E15AD8"/>
    <w:rsid w:val="03FE1E00"/>
    <w:rsid w:val="040A4D3D"/>
    <w:rsid w:val="042628ED"/>
    <w:rsid w:val="042F4E8E"/>
    <w:rsid w:val="04362DB2"/>
    <w:rsid w:val="044E0E40"/>
    <w:rsid w:val="047070F2"/>
    <w:rsid w:val="04730898"/>
    <w:rsid w:val="047A72CA"/>
    <w:rsid w:val="047F4197"/>
    <w:rsid w:val="04843AF7"/>
    <w:rsid w:val="0493534D"/>
    <w:rsid w:val="04AD5FA9"/>
    <w:rsid w:val="04B574F8"/>
    <w:rsid w:val="04C21F76"/>
    <w:rsid w:val="04CD1950"/>
    <w:rsid w:val="04CD636E"/>
    <w:rsid w:val="04CF497E"/>
    <w:rsid w:val="04D550AF"/>
    <w:rsid w:val="04F4760B"/>
    <w:rsid w:val="051265BF"/>
    <w:rsid w:val="05164F90"/>
    <w:rsid w:val="053E53FC"/>
    <w:rsid w:val="053F077B"/>
    <w:rsid w:val="0541479E"/>
    <w:rsid w:val="054D26E9"/>
    <w:rsid w:val="05517C14"/>
    <w:rsid w:val="0567204A"/>
    <w:rsid w:val="05686195"/>
    <w:rsid w:val="056C15E7"/>
    <w:rsid w:val="05816FB4"/>
    <w:rsid w:val="0584789C"/>
    <w:rsid w:val="058A3A69"/>
    <w:rsid w:val="059818D5"/>
    <w:rsid w:val="05A87AAD"/>
    <w:rsid w:val="05AD256E"/>
    <w:rsid w:val="05B15A9A"/>
    <w:rsid w:val="05B15D8C"/>
    <w:rsid w:val="05B253F0"/>
    <w:rsid w:val="05C8626D"/>
    <w:rsid w:val="05D22E70"/>
    <w:rsid w:val="05D532BE"/>
    <w:rsid w:val="05DA0F4A"/>
    <w:rsid w:val="05E07928"/>
    <w:rsid w:val="05F321AC"/>
    <w:rsid w:val="05F41EDD"/>
    <w:rsid w:val="05F53DF0"/>
    <w:rsid w:val="060C7519"/>
    <w:rsid w:val="06122C89"/>
    <w:rsid w:val="0613770E"/>
    <w:rsid w:val="061E4834"/>
    <w:rsid w:val="0636392C"/>
    <w:rsid w:val="063F4EF0"/>
    <w:rsid w:val="064C0D66"/>
    <w:rsid w:val="06540256"/>
    <w:rsid w:val="065F6629"/>
    <w:rsid w:val="066F0A20"/>
    <w:rsid w:val="0687687D"/>
    <w:rsid w:val="068944A7"/>
    <w:rsid w:val="06966B7C"/>
    <w:rsid w:val="06AB71F5"/>
    <w:rsid w:val="06B239D3"/>
    <w:rsid w:val="06C90185"/>
    <w:rsid w:val="06D1247B"/>
    <w:rsid w:val="06D175F3"/>
    <w:rsid w:val="06D46AC4"/>
    <w:rsid w:val="06D62EC4"/>
    <w:rsid w:val="06DF47D4"/>
    <w:rsid w:val="06E90175"/>
    <w:rsid w:val="06F70ABB"/>
    <w:rsid w:val="070728E2"/>
    <w:rsid w:val="070B011E"/>
    <w:rsid w:val="07107A01"/>
    <w:rsid w:val="0735563F"/>
    <w:rsid w:val="073836D3"/>
    <w:rsid w:val="0742555E"/>
    <w:rsid w:val="074F2F00"/>
    <w:rsid w:val="0770599C"/>
    <w:rsid w:val="07833286"/>
    <w:rsid w:val="078A37F7"/>
    <w:rsid w:val="078A471E"/>
    <w:rsid w:val="07A34FF1"/>
    <w:rsid w:val="07AF0ABE"/>
    <w:rsid w:val="07E24856"/>
    <w:rsid w:val="07EF6334"/>
    <w:rsid w:val="081A576F"/>
    <w:rsid w:val="0827726F"/>
    <w:rsid w:val="083420ED"/>
    <w:rsid w:val="08416637"/>
    <w:rsid w:val="08430396"/>
    <w:rsid w:val="085B573A"/>
    <w:rsid w:val="086D3E46"/>
    <w:rsid w:val="08712429"/>
    <w:rsid w:val="0874411A"/>
    <w:rsid w:val="087B5F6E"/>
    <w:rsid w:val="087C730D"/>
    <w:rsid w:val="088859D9"/>
    <w:rsid w:val="088F37C7"/>
    <w:rsid w:val="08B5506F"/>
    <w:rsid w:val="08B57B8A"/>
    <w:rsid w:val="08DB6A0C"/>
    <w:rsid w:val="08E3285E"/>
    <w:rsid w:val="09015B76"/>
    <w:rsid w:val="09143645"/>
    <w:rsid w:val="092706D8"/>
    <w:rsid w:val="093F6F9B"/>
    <w:rsid w:val="094C7BAC"/>
    <w:rsid w:val="09C41D9E"/>
    <w:rsid w:val="09DC1187"/>
    <w:rsid w:val="09E77D75"/>
    <w:rsid w:val="09EE5664"/>
    <w:rsid w:val="09F8620D"/>
    <w:rsid w:val="0A053894"/>
    <w:rsid w:val="0A1113AF"/>
    <w:rsid w:val="0A187F18"/>
    <w:rsid w:val="0A375EC4"/>
    <w:rsid w:val="0A840117"/>
    <w:rsid w:val="0A987950"/>
    <w:rsid w:val="0AA96DC2"/>
    <w:rsid w:val="0AAB0BDE"/>
    <w:rsid w:val="0AB6458C"/>
    <w:rsid w:val="0AB71236"/>
    <w:rsid w:val="0AB717A8"/>
    <w:rsid w:val="0AC238B2"/>
    <w:rsid w:val="0AC57F4F"/>
    <w:rsid w:val="0B0011D0"/>
    <w:rsid w:val="0B07069D"/>
    <w:rsid w:val="0B150278"/>
    <w:rsid w:val="0B3C19E4"/>
    <w:rsid w:val="0B45008E"/>
    <w:rsid w:val="0B460FE0"/>
    <w:rsid w:val="0B6027D8"/>
    <w:rsid w:val="0B6772BF"/>
    <w:rsid w:val="0B684616"/>
    <w:rsid w:val="0B6902FF"/>
    <w:rsid w:val="0B6A1E24"/>
    <w:rsid w:val="0B71360C"/>
    <w:rsid w:val="0B7D31CE"/>
    <w:rsid w:val="0B82163C"/>
    <w:rsid w:val="0B9F01C5"/>
    <w:rsid w:val="0BA03BF1"/>
    <w:rsid w:val="0BAD33C6"/>
    <w:rsid w:val="0BAF2CB8"/>
    <w:rsid w:val="0BAF30D4"/>
    <w:rsid w:val="0BBF3A57"/>
    <w:rsid w:val="0BE67BA2"/>
    <w:rsid w:val="0C00517C"/>
    <w:rsid w:val="0C153C3D"/>
    <w:rsid w:val="0C1E733C"/>
    <w:rsid w:val="0C296924"/>
    <w:rsid w:val="0C540FAF"/>
    <w:rsid w:val="0C59064B"/>
    <w:rsid w:val="0C6457E9"/>
    <w:rsid w:val="0C844DE7"/>
    <w:rsid w:val="0C9439B4"/>
    <w:rsid w:val="0C9E0178"/>
    <w:rsid w:val="0CA02447"/>
    <w:rsid w:val="0CB82C81"/>
    <w:rsid w:val="0CC8633D"/>
    <w:rsid w:val="0CD0433B"/>
    <w:rsid w:val="0CE739CE"/>
    <w:rsid w:val="0CF12FE6"/>
    <w:rsid w:val="0D0441C5"/>
    <w:rsid w:val="0D167C23"/>
    <w:rsid w:val="0D1E5952"/>
    <w:rsid w:val="0D3875A1"/>
    <w:rsid w:val="0D444B80"/>
    <w:rsid w:val="0D5758FA"/>
    <w:rsid w:val="0D5D277B"/>
    <w:rsid w:val="0D620C45"/>
    <w:rsid w:val="0D6214AA"/>
    <w:rsid w:val="0D63484C"/>
    <w:rsid w:val="0D6939AA"/>
    <w:rsid w:val="0D8130D6"/>
    <w:rsid w:val="0D85488C"/>
    <w:rsid w:val="0D9D2C91"/>
    <w:rsid w:val="0DA547E7"/>
    <w:rsid w:val="0DB6487A"/>
    <w:rsid w:val="0DB717F6"/>
    <w:rsid w:val="0DC254EA"/>
    <w:rsid w:val="0DDD382D"/>
    <w:rsid w:val="0E0E31DF"/>
    <w:rsid w:val="0E114974"/>
    <w:rsid w:val="0E395D6E"/>
    <w:rsid w:val="0E4114CA"/>
    <w:rsid w:val="0E625C06"/>
    <w:rsid w:val="0E6B11C6"/>
    <w:rsid w:val="0E76339C"/>
    <w:rsid w:val="0E770A2F"/>
    <w:rsid w:val="0E90044D"/>
    <w:rsid w:val="0E9A5F04"/>
    <w:rsid w:val="0EA24254"/>
    <w:rsid w:val="0EB27B94"/>
    <w:rsid w:val="0EC31D58"/>
    <w:rsid w:val="0ED3359A"/>
    <w:rsid w:val="0ED8097C"/>
    <w:rsid w:val="0EEE58AE"/>
    <w:rsid w:val="0EFA4090"/>
    <w:rsid w:val="0F07006D"/>
    <w:rsid w:val="0F083209"/>
    <w:rsid w:val="0F1540BD"/>
    <w:rsid w:val="0F19203C"/>
    <w:rsid w:val="0F25133E"/>
    <w:rsid w:val="0F271BAF"/>
    <w:rsid w:val="0F3C1CFE"/>
    <w:rsid w:val="0F45696C"/>
    <w:rsid w:val="0F4B69EC"/>
    <w:rsid w:val="0F531E5C"/>
    <w:rsid w:val="0F5E4ED1"/>
    <w:rsid w:val="0F654500"/>
    <w:rsid w:val="0F6D2EB2"/>
    <w:rsid w:val="0F8F166E"/>
    <w:rsid w:val="0FCF7A0F"/>
    <w:rsid w:val="0FDC0644"/>
    <w:rsid w:val="0FE07959"/>
    <w:rsid w:val="0FE845F0"/>
    <w:rsid w:val="0FEB2D35"/>
    <w:rsid w:val="0FF60AEE"/>
    <w:rsid w:val="0FF94091"/>
    <w:rsid w:val="0FFF2B35"/>
    <w:rsid w:val="10046665"/>
    <w:rsid w:val="101173EF"/>
    <w:rsid w:val="102C3B34"/>
    <w:rsid w:val="10312469"/>
    <w:rsid w:val="10352EA6"/>
    <w:rsid w:val="103D77DA"/>
    <w:rsid w:val="104A7C7A"/>
    <w:rsid w:val="10606175"/>
    <w:rsid w:val="10667503"/>
    <w:rsid w:val="108871AD"/>
    <w:rsid w:val="108D5820"/>
    <w:rsid w:val="108E7A28"/>
    <w:rsid w:val="10A047C3"/>
    <w:rsid w:val="10B36C33"/>
    <w:rsid w:val="10B8109C"/>
    <w:rsid w:val="10C85AC8"/>
    <w:rsid w:val="10D646EB"/>
    <w:rsid w:val="10DC76F0"/>
    <w:rsid w:val="10E741A0"/>
    <w:rsid w:val="11165302"/>
    <w:rsid w:val="1123643B"/>
    <w:rsid w:val="114C04A7"/>
    <w:rsid w:val="1153111F"/>
    <w:rsid w:val="11565E5D"/>
    <w:rsid w:val="116E527A"/>
    <w:rsid w:val="11780B02"/>
    <w:rsid w:val="11875983"/>
    <w:rsid w:val="118916FB"/>
    <w:rsid w:val="118C792C"/>
    <w:rsid w:val="11B6718F"/>
    <w:rsid w:val="11BB2A6C"/>
    <w:rsid w:val="11CC10A6"/>
    <w:rsid w:val="126113E4"/>
    <w:rsid w:val="1279144A"/>
    <w:rsid w:val="12810624"/>
    <w:rsid w:val="128524D0"/>
    <w:rsid w:val="12A52565"/>
    <w:rsid w:val="12A7643B"/>
    <w:rsid w:val="12AF6324"/>
    <w:rsid w:val="12B138B1"/>
    <w:rsid w:val="12CD5618"/>
    <w:rsid w:val="12D6363F"/>
    <w:rsid w:val="12F465E5"/>
    <w:rsid w:val="12F930E9"/>
    <w:rsid w:val="13146478"/>
    <w:rsid w:val="131833CE"/>
    <w:rsid w:val="131E5437"/>
    <w:rsid w:val="132909D0"/>
    <w:rsid w:val="13555705"/>
    <w:rsid w:val="13563751"/>
    <w:rsid w:val="13671E4B"/>
    <w:rsid w:val="13713D4C"/>
    <w:rsid w:val="137D5E34"/>
    <w:rsid w:val="137E4C10"/>
    <w:rsid w:val="13837F5E"/>
    <w:rsid w:val="139A1ED3"/>
    <w:rsid w:val="13A464BE"/>
    <w:rsid w:val="13BD6511"/>
    <w:rsid w:val="13BE0E12"/>
    <w:rsid w:val="13C72D3C"/>
    <w:rsid w:val="13FC001C"/>
    <w:rsid w:val="13FF5CA5"/>
    <w:rsid w:val="143B29AF"/>
    <w:rsid w:val="144672C2"/>
    <w:rsid w:val="144F21B2"/>
    <w:rsid w:val="146A4D4C"/>
    <w:rsid w:val="147C08E9"/>
    <w:rsid w:val="147F6EBC"/>
    <w:rsid w:val="14943583"/>
    <w:rsid w:val="14B01414"/>
    <w:rsid w:val="14B75C90"/>
    <w:rsid w:val="14BD31B0"/>
    <w:rsid w:val="14DC25FF"/>
    <w:rsid w:val="14F73A80"/>
    <w:rsid w:val="14F84A90"/>
    <w:rsid w:val="15357308"/>
    <w:rsid w:val="15366332"/>
    <w:rsid w:val="155E288E"/>
    <w:rsid w:val="15995ABE"/>
    <w:rsid w:val="159D5A4E"/>
    <w:rsid w:val="159F5A5E"/>
    <w:rsid w:val="15A8019C"/>
    <w:rsid w:val="15BD1974"/>
    <w:rsid w:val="15BD7BC5"/>
    <w:rsid w:val="15CD243C"/>
    <w:rsid w:val="15D73684"/>
    <w:rsid w:val="160D07D9"/>
    <w:rsid w:val="163206F2"/>
    <w:rsid w:val="16352BFB"/>
    <w:rsid w:val="163F06E4"/>
    <w:rsid w:val="16470918"/>
    <w:rsid w:val="16615E3B"/>
    <w:rsid w:val="16803014"/>
    <w:rsid w:val="16854E40"/>
    <w:rsid w:val="168A1C08"/>
    <w:rsid w:val="16A056D0"/>
    <w:rsid w:val="16AB72A0"/>
    <w:rsid w:val="17156BCA"/>
    <w:rsid w:val="17265071"/>
    <w:rsid w:val="172B2DD3"/>
    <w:rsid w:val="17405D0C"/>
    <w:rsid w:val="175175BE"/>
    <w:rsid w:val="177665C1"/>
    <w:rsid w:val="177724C7"/>
    <w:rsid w:val="17853323"/>
    <w:rsid w:val="17942BA8"/>
    <w:rsid w:val="17A03938"/>
    <w:rsid w:val="17A24888"/>
    <w:rsid w:val="17B952AB"/>
    <w:rsid w:val="17D35235"/>
    <w:rsid w:val="17DD27D8"/>
    <w:rsid w:val="17EB74DD"/>
    <w:rsid w:val="17FA06FE"/>
    <w:rsid w:val="181013B5"/>
    <w:rsid w:val="18172022"/>
    <w:rsid w:val="18365789"/>
    <w:rsid w:val="183766D4"/>
    <w:rsid w:val="18530618"/>
    <w:rsid w:val="186C6D61"/>
    <w:rsid w:val="18756EF9"/>
    <w:rsid w:val="18772584"/>
    <w:rsid w:val="1877301D"/>
    <w:rsid w:val="18956BD8"/>
    <w:rsid w:val="1899631F"/>
    <w:rsid w:val="18A706B9"/>
    <w:rsid w:val="18AB012F"/>
    <w:rsid w:val="18BF27AF"/>
    <w:rsid w:val="18CF4520"/>
    <w:rsid w:val="18E207AE"/>
    <w:rsid w:val="18E67433"/>
    <w:rsid w:val="19086C33"/>
    <w:rsid w:val="19185113"/>
    <w:rsid w:val="193C0604"/>
    <w:rsid w:val="19470E66"/>
    <w:rsid w:val="19482508"/>
    <w:rsid w:val="195B1FD0"/>
    <w:rsid w:val="19854FA7"/>
    <w:rsid w:val="19887882"/>
    <w:rsid w:val="19900875"/>
    <w:rsid w:val="199874AB"/>
    <w:rsid w:val="19B3235B"/>
    <w:rsid w:val="19D6411B"/>
    <w:rsid w:val="19D900CB"/>
    <w:rsid w:val="19E00326"/>
    <w:rsid w:val="19F45B80"/>
    <w:rsid w:val="1A0D0249"/>
    <w:rsid w:val="1A220879"/>
    <w:rsid w:val="1A3233E2"/>
    <w:rsid w:val="1A3E7827"/>
    <w:rsid w:val="1A45097F"/>
    <w:rsid w:val="1A4E62DE"/>
    <w:rsid w:val="1A4F4F56"/>
    <w:rsid w:val="1A8E18DC"/>
    <w:rsid w:val="1AA45210"/>
    <w:rsid w:val="1AA94606"/>
    <w:rsid w:val="1AAE21D3"/>
    <w:rsid w:val="1ABE6FCE"/>
    <w:rsid w:val="1AC25CB7"/>
    <w:rsid w:val="1AC824D7"/>
    <w:rsid w:val="1AD06933"/>
    <w:rsid w:val="1ADC1BCF"/>
    <w:rsid w:val="1ADC2C26"/>
    <w:rsid w:val="1AE36EC3"/>
    <w:rsid w:val="1AEA72A6"/>
    <w:rsid w:val="1AFB3540"/>
    <w:rsid w:val="1B065B6B"/>
    <w:rsid w:val="1B18236C"/>
    <w:rsid w:val="1B244243"/>
    <w:rsid w:val="1B2558A4"/>
    <w:rsid w:val="1B4929AF"/>
    <w:rsid w:val="1B4D51C4"/>
    <w:rsid w:val="1B57493E"/>
    <w:rsid w:val="1B696A76"/>
    <w:rsid w:val="1B721AC4"/>
    <w:rsid w:val="1B773759"/>
    <w:rsid w:val="1B7D0CCE"/>
    <w:rsid w:val="1B9273FE"/>
    <w:rsid w:val="1B964656"/>
    <w:rsid w:val="1B9D4FFC"/>
    <w:rsid w:val="1BB07CF1"/>
    <w:rsid w:val="1BD5272A"/>
    <w:rsid w:val="1BE5440C"/>
    <w:rsid w:val="1BE8430F"/>
    <w:rsid w:val="1BF14680"/>
    <w:rsid w:val="1C055E22"/>
    <w:rsid w:val="1C213008"/>
    <w:rsid w:val="1C27223D"/>
    <w:rsid w:val="1C3A3FF0"/>
    <w:rsid w:val="1C3A68A8"/>
    <w:rsid w:val="1C637620"/>
    <w:rsid w:val="1C6C40F3"/>
    <w:rsid w:val="1C7A59F3"/>
    <w:rsid w:val="1C86294A"/>
    <w:rsid w:val="1C93646E"/>
    <w:rsid w:val="1C9F0B2E"/>
    <w:rsid w:val="1CA84852"/>
    <w:rsid w:val="1CAE405A"/>
    <w:rsid w:val="1CB30208"/>
    <w:rsid w:val="1CB461DA"/>
    <w:rsid w:val="1CB74906"/>
    <w:rsid w:val="1CB90293"/>
    <w:rsid w:val="1CC43D84"/>
    <w:rsid w:val="1CDD46A5"/>
    <w:rsid w:val="1CDF55DC"/>
    <w:rsid w:val="1D030E1F"/>
    <w:rsid w:val="1D0D4DEC"/>
    <w:rsid w:val="1D1D463C"/>
    <w:rsid w:val="1D216C8C"/>
    <w:rsid w:val="1D511E4D"/>
    <w:rsid w:val="1D5D61EB"/>
    <w:rsid w:val="1D705CDB"/>
    <w:rsid w:val="1D9201E2"/>
    <w:rsid w:val="1D952E91"/>
    <w:rsid w:val="1D973633"/>
    <w:rsid w:val="1DB06B5B"/>
    <w:rsid w:val="1DC67C65"/>
    <w:rsid w:val="1DCB4E4A"/>
    <w:rsid w:val="1DDC3608"/>
    <w:rsid w:val="1E454BFC"/>
    <w:rsid w:val="1E4E00B8"/>
    <w:rsid w:val="1E6B116B"/>
    <w:rsid w:val="1E6C7F40"/>
    <w:rsid w:val="1E704B80"/>
    <w:rsid w:val="1E780B2E"/>
    <w:rsid w:val="1E83710E"/>
    <w:rsid w:val="1E8B203C"/>
    <w:rsid w:val="1E96592F"/>
    <w:rsid w:val="1EDB0741"/>
    <w:rsid w:val="1EF64696"/>
    <w:rsid w:val="1F003724"/>
    <w:rsid w:val="1F0A297C"/>
    <w:rsid w:val="1F1A1608"/>
    <w:rsid w:val="1F274302"/>
    <w:rsid w:val="1F301408"/>
    <w:rsid w:val="1F332CA6"/>
    <w:rsid w:val="1F413615"/>
    <w:rsid w:val="1F467EE7"/>
    <w:rsid w:val="1F4A295B"/>
    <w:rsid w:val="1F5062F3"/>
    <w:rsid w:val="1F5275D0"/>
    <w:rsid w:val="1F57525B"/>
    <w:rsid w:val="1F775CC2"/>
    <w:rsid w:val="1F7C289F"/>
    <w:rsid w:val="1F7F59E6"/>
    <w:rsid w:val="1F8D41BF"/>
    <w:rsid w:val="1F993CB7"/>
    <w:rsid w:val="1F9A6A2D"/>
    <w:rsid w:val="1FA358A7"/>
    <w:rsid w:val="1FA821D8"/>
    <w:rsid w:val="1FC2682A"/>
    <w:rsid w:val="1FCB7383"/>
    <w:rsid w:val="1FFF7BE6"/>
    <w:rsid w:val="201E5705"/>
    <w:rsid w:val="202B1D8D"/>
    <w:rsid w:val="20403BC8"/>
    <w:rsid w:val="2059498F"/>
    <w:rsid w:val="205C4C83"/>
    <w:rsid w:val="207C47A5"/>
    <w:rsid w:val="20970466"/>
    <w:rsid w:val="20977B64"/>
    <w:rsid w:val="20A20A3A"/>
    <w:rsid w:val="20B519C6"/>
    <w:rsid w:val="20BD02C4"/>
    <w:rsid w:val="20BF5019"/>
    <w:rsid w:val="20D632FF"/>
    <w:rsid w:val="20DE312A"/>
    <w:rsid w:val="20EA3D6B"/>
    <w:rsid w:val="210E42B3"/>
    <w:rsid w:val="21195127"/>
    <w:rsid w:val="21204E3A"/>
    <w:rsid w:val="21296177"/>
    <w:rsid w:val="212F207F"/>
    <w:rsid w:val="21500545"/>
    <w:rsid w:val="21531BAF"/>
    <w:rsid w:val="2174632E"/>
    <w:rsid w:val="217A412C"/>
    <w:rsid w:val="21822040"/>
    <w:rsid w:val="2186076B"/>
    <w:rsid w:val="21B3678D"/>
    <w:rsid w:val="21CD6BD4"/>
    <w:rsid w:val="21DC2B45"/>
    <w:rsid w:val="21E62252"/>
    <w:rsid w:val="21FE134A"/>
    <w:rsid w:val="22017085"/>
    <w:rsid w:val="2201708C"/>
    <w:rsid w:val="22451904"/>
    <w:rsid w:val="225062E2"/>
    <w:rsid w:val="2257653D"/>
    <w:rsid w:val="22C73138"/>
    <w:rsid w:val="22D262A8"/>
    <w:rsid w:val="230B5C3B"/>
    <w:rsid w:val="23115ACC"/>
    <w:rsid w:val="236237B6"/>
    <w:rsid w:val="237E12B8"/>
    <w:rsid w:val="23877889"/>
    <w:rsid w:val="23BE6649"/>
    <w:rsid w:val="23C451EF"/>
    <w:rsid w:val="23D37C3A"/>
    <w:rsid w:val="23DA5DE6"/>
    <w:rsid w:val="23DE2A6A"/>
    <w:rsid w:val="23E72BAA"/>
    <w:rsid w:val="23EE67BF"/>
    <w:rsid w:val="24040AAC"/>
    <w:rsid w:val="24066BDB"/>
    <w:rsid w:val="2409418C"/>
    <w:rsid w:val="24286872"/>
    <w:rsid w:val="24312F92"/>
    <w:rsid w:val="243B4E1F"/>
    <w:rsid w:val="24515E9B"/>
    <w:rsid w:val="245F3A6E"/>
    <w:rsid w:val="245F4123"/>
    <w:rsid w:val="24636872"/>
    <w:rsid w:val="24641792"/>
    <w:rsid w:val="247639EF"/>
    <w:rsid w:val="24905D52"/>
    <w:rsid w:val="249076FC"/>
    <w:rsid w:val="249B442F"/>
    <w:rsid w:val="24A60F73"/>
    <w:rsid w:val="24C7323B"/>
    <w:rsid w:val="24DB1DC2"/>
    <w:rsid w:val="24F35C02"/>
    <w:rsid w:val="25072C0B"/>
    <w:rsid w:val="252E61B7"/>
    <w:rsid w:val="254916DB"/>
    <w:rsid w:val="255F05FC"/>
    <w:rsid w:val="257826EB"/>
    <w:rsid w:val="258322FB"/>
    <w:rsid w:val="25A135D5"/>
    <w:rsid w:val="25B44C32"/>
    <w:rsid w:val="25D20774"/>
    <w:rsid w:val="25F23122"/>
    <w:rsid w:val="26025181"/>
    <w:rsid w:val="260C3686"/>
    <w:rsid w:val="26294C32"/>
    <w:rsid w:val="262B2BEF"/>
    <w:rsid w:val="265C5519"/>
    <w:rsid w:val="267161BB"/>
    <w:rsid w:val="26A44C5A"/>
    <w:rsid w:val="26A85D28"/>
    <w:rsid w:val="26B22834"/>
    <w:rsid w:val="26B86483"/>
    <w:rsid w:val="26C709F8"/>
    <w:rsid w:val="26C84490"/>
    <w:rsid w:val="26CA6116"/>
    <w:rsid w:val="26CB0018"/>
    <w:rsid w:val="26D0536E"/>
    <w:rsid w:val="26D7485F"/>
    <w:rsid w:val="26E52291"/>
    <w:rsid w:val="26E63332"/>
    <w:rsid w:val="26FE04EF"/>
    <w:rsid w:val="270F71C6"/>
    <w:rsid w:val="271713A5"/>
    <w:rsid w:val="27185C63"/>
    <w:rsid w:val="271E75A5"/>
    <w:rsid w:val="272112DC"/>
    <w:rsid w:val="272563C4"/>
    <w:rsid w:val="2741522C"/>
    <w:rsid w:val="275E3FAD"/>
    <w:rsid w:val="277369B1"/>
    <w:rsid w:val="278401E8"/>
    <w:rsid w:val="27E44BC5"/>
    <w:rsid w:val="27EE0E73"/>
    <w:rsid w:val="27FA0805"/>
    <w:rsid w:val="2811520C"/>
    <w:rsid w:val="2817542B"/>
    <w:rsid w:val="28302A61"/>
    <w:rsid w:val="28357709"/>
    <w:rsid w:val="284C6151"/>
    <w:rsid w:val="28571C56"/>
    <w:rsid w:val="2865049F"/>
    <w:rsid w:val="28772AFB"/>
    <w:rsid w:val="288227FB"/>
    <w:rsid w:val="28916D52"/>
    <w:rsid w:val="289F748F"/>
    <w:rsid w:val="28A46B29"/>
    <w:rsid w:val="28BA07F2"/>
    <w:rsid w:val="28D80520"/>
    <w:rsid w:val="28F00DB4"/>
    <w:rsid w:val="28F02763"/>
    <w:rsid w:val="28F336A3"/>
    <w:rsid w:val="28FF7D92"/>
    <w:rsid w:val="291826D1"/>
    <w:rsid w:val="29200D33"/>
    <w:rsid w:val="29214D0B"/>
    <w:rsid w:val="292F44DF"/>
    <w:rsid w:val="294A1318"/>
    <w:rsid w:val="29854192"/>
    <w:rsid w:val="29961DB5"/>
    <w:rsid w:val="29A16D8B"/>
    <w:rsid w:val="29A22F02"/>
    <w:rsid w:val="29B5683E"/>
    <w:rsid w:val="29C25D64"/>
    <w:rsid w:val="29CC4925"/>
    <w:rsid w:val="29CF581D"/>
    <w:rsid w:val="29D83DB4"/>
    <w:rsid w:val="2A041AED"/>
    <w:rsid w:val="2A107348"/>
    <w:rsid w:val="2A181B92"/>
    <w:rsid w:val="2A2E73A0"/>
    <w:rsid w:val="2A407E42"/>
    <w:rsid w:val="2A5423D7"/>
    <w:rsid w:val="2A5A1BE9"/>
    <w:rsid w:val="2A747D5C"/>
    <w:rsid w:val="2A827D64"/>
    <w:rsid w:val="2A855847"/>
    <w:rsid w:val="2A9A6FA3"/>
    <w:rsid w:val="2AB83CFE"/>
    <w:rsid w:val="2AC10370"/>
    <w:rsid w:val="2AE8703B"/>
    <w:rsid w:val="2AEE22C4"/>
    <w:rsid w:val="2AFE0248"/>
    <w:rsid w:val="2B0D5D99"/>
    <w:rsid w:val="2B13652E"/>
    <w:rsid w:val="2B283E8D"/>
    <w:rsid w:val="2B292C8E"/>
    <w:rsid w:val="2B5F3F25"/>
    <w:rsid w:val="2B681F2A"/>
    <w:rsid w:val="2B6F02F1"/>
    <w:rsid w:val="2BAF7B59"/>
    <w:rsid w:val="2BC26BE9"/>
    <w:rsid w:val="2BD6344B"/>
    <w:rsid w:val="2BD65CAA"/>
    <w:rsid w:val="2BD94154"/>
    <w:rsid w:val="2C026864"/>
    <w:rsid w:val="2C106A55"/>
    <w:rsid w:val="2C1476A8"/>
    <w:rsid w:val="2C263405"/>
    <w:rsid w:val="2C26606D"/>
    <w:rsid w:val="2C345D9C"/>
    <w:rsid w:val="2C3818FC"/>
    <w:rsid w:val="2C4E2ECE"/>
    <w:rsid w:val="2C532E49"/>
    <w:rsid w:val="2C577651"/>
    <w:rsid w:val="2C5A1872"/>
    <w:rsid w:val="2C5E15E0"/>
    <w:rsid w:val="2C7C70A2"/>
    <w:rsid w:val="2C8C7F5C"/>
    <w:rsid w:val="2CBF0EAB"/>
    <w:rsid w:val="2CD21D51"/>
    <w:rsid w:val="2D002D37"/>
    <w:rsid w:val="2D095047"/>
    <w:rsid w:val="2D1C1239"/>
    <w:rsid w:val="2D263E4A"/>
    <w:rsid w:val="2D306BD8"/>
    <w:rsid w:val="2D735C22"/>
    <w:rsid w:val="2D9E0B6F"/>
    <w:rsid w:val="2DB161D8"/>
    <w:rsid w:val="2DB34EBF"/>
    <w:rsid w:val="2DC6742A"/>
    <w:rsid w:val="2DD74863"/>
    <w:rsid w:val="2DF66503"/>
    <w:rsid w:val="2DFA417C"/>
    <w:rsid w:val="2E021AE4"/>
    <w:rsid w:val="2E16319D"/>
    <w:rsid w:val="2E1672D7"/>
    <w:rsid w:val="2E1A7200"/>
    <w:rsid w:val="2E1F0FC6"/>
    <w:rsid w:val="2E3C11AA"/>
    <w:rsid w:val="2E3C15B5"/>
    <w:rsid w:val="2E4E151F"/>
    <w:rsid w:val="2E577658"/>
    <w:rsid w:val="2E64028E"/>
    <w:rsid w:val="2E8E7EF9"/>
    <w:rsid w:val="2E954DE4"/>
    <w:rsid w:val="2EAC0188"/>
    <w:rsid w:val="2EAE5EA6"/>
    <w:rsid w:val="2EB21E3A"/>
    <w:rsid w:val="2EBF6153"/>
    <w:rsid w:val="2EDB64B3"/>
    <w:rsid w:val="2EDF71DC"/>
    <w:rsid w:val="2EE92F5D"/>
    <w:rsid w:val="2EF27956"/>
    <w:rsid w:val="2F0048D6"/>
    <w:rsid w:val="2F0403BE"/>
    <w:rsid w:val="2F0A595A"/>
    <w:rsid w:val="2F146D24"/>
    <w:rsid w:val="2F212858"/>
    <w:rsid w:val="2F263EA8"/>
    <w:rsid w:val="2F2A4AE7"/>
    <w:rsid w:val="2F386B0F"/>
    <w:rsid w:val="2F58330A"/>
    <w:rsid w:val="2F726A97"/>
    <w:rsid w:val="2F7524EB"/>
    <w:rsid w:val="2F7E3ACA"/>
    <w:rsid w:val="2F8F0AA1"/>
    <w:rsid w:val="2FA71273"/>
    <w:rsid w:val="2FAE3475"/>
    <w:rsid w:val="2FCA315D"/>
    <w:rsid w:val="2FD242E7"/>
    <w:rsid w:val="2FE15935"/>
    <w:rsid w:val="2FE35624"/>
    <w:rsid w:val="2FF71C25"/>
    <w:rsid w:val="2FFC7523"/>
    <w:rsid w:val="300A2BA4"/>
    <w:rsid w:val="303F0103"/>
    <w:rsid w:val="304B6748"/>
    <w:rsid w:val="304F36B8"/>
    <w:rsid w:val="30782C0F"/>
    <w:rsid w:val="30801AC4"/>
    <w:rsid w:val="30833341"/>
    <w:rsid w:val="308D089B"/>
    <w:rsid w:val="30A03DD0"/>
    <w:rsid w:val="30B37904"/>
    <w:rsid w:val="30C776F3"/>
    <w:rsid w:val="30D540AA"/>
    <w:rsid w:val="30EB7A15"/>
    <w:rsid w:val="30FE3515"/>
    <w:rsid w:val="31046484"/>
    <w:rsid w:val="31055E37"/>
    <w:rsid w:val="310D525E"/>
    <w:rsid w:val="313C7F79"/>
    <w:rsid w:val="31433F9A"/>
    <w:rsid w:val="314D62F2"/>
    <w:rsid w:val="315D0C88"/>
    <w:rsid w:val="315F39DC"/>
    <w:rsid w:val="315F5E0F"/>
    <w:rsid w:val="318B7CEA"/>
    <w:rsid w:val="31A007DE"/>
    <w:rsid w:val="31A219FE"/>
    <w:rsid w:val="31A62E1B"/>
    <w:rsid w:val="31C51EAE"/>
    <w:rsid w:val="31F70F18"/>
    <w:rsid w:val="31F856D4"/>
    <w:rsid w:val="320074E2"/>
    <w:rsid w:val="322A0A77"/>
    <w:rsid w:val="32344181"/>
    <w:rsid w:val="32380062"/>
    <w:rsid w:val="3243650C"/>
    <w:rsid w:val="324A2389"/>
    <w:rsid w:val="325358D7"/>
    <w:rsid w:val="325D2E52"/>
    <w:rsid w:val="328B2F6A"/>
    <w:rsid w:val="328B4E7C"/>
    <w:rsid w:val="32A814BF"/>
    <w:rsid w:val="32B036D5"/>
    <w:rsid w:val="32C906B9"/>
    <w:rsid w:val="32DA2CB7"/>
    <w:rsid w:val="32EC0F9A"/>
    <w:rsid w:val="33072B71"/>
    <w:rsid w:val="33152997"/>
    <w:rsid w:val="331A7CE8"/>
    <w:rsid w:val="333D263A"/>
    <w:rsid w:val="33431E2E"/>
    <w:rsid w:val="335D4192"/>
    <w:rsid w:val="33723946"/>
    <w:rsid w:val="33874CB1"/>
    <w:rsid w:val="33903190"/>
    <w:rsid w:val="33A0277C"/>
    <w:rsid w:val="33A25278"/>
    <w:rsid w:val="33A63CC7"/>
    <w:rsid w:val="33D56AE0"/>
    <w:rsid w:val="33E10ACB"/>
    <w:rsid w:val="33F26834"/>
    <w:rsid w:val="33F94A6B"/>
    <w:rsid w:val="34235D58"/>
    <w:rsid w:val="34294F39"/>
    <w:rsid w:val="34535D1B"/>
    <w:rsid w:val="345B6AD0"/>
    <w:rsid w:val="3465697C"/>
    <w:rsid w:val="34726940"/>
    <w:rsid w:val="347507BC"/>
    <w:rsid w:val="349F4906"/>
    <w:rsid w:val="34FA62E8"/>
    <w:rsid w:val="350043A0"/>
    <w:rsid w:val="35020CF9"/>
    <w:rsid w:val="35125A86"/>
    <w:rsid w:val="35194EC3"/>
    <w:rsid w:val="35371479"/>
    <w:rsid w:val="3552703A"/>
    <w:rsid w:val="35777EBF"/>
    <w:rsid w:val="35790EC9"/>
    <w:rsid w:val="35795F9A"/>
    <w:rsid w:val="35815185"/>
    <w:rsid w:val="35831C83"/>
    <w:rsid w:val="3595781E"/>
    <w:rsid w:val="35AE0914"/>
    <w:rsid w:val="35CB0E93"/>
    <w:rsid w:val="35CC315D"/>
    <w:rsid w:val="35E6061B"/>
    <w:rsid w:val="35EC7913"/>
    <w:rsid w:val="35F71AB7"/>
    <w:rsid w:val="35FA69AE"/>
    <w:rsid w:val="35FE5964"/>
    <w:rsid w:val="36054F45"/>
    <w:rsid w:val="363F333D"/>
    <w:rsid w:val="36421CF5"/>
    <w:rsid w:val="365B6913"/>
    <w:rsid w:val="36684EB3"/>
    <w:rsid w:val="366C4FC4"/>
    <w:rsid w:val="36912604"/>
    <w:rsid w:val="36997554"/>
    <w:rsid w:val="36BC79BB"/>
    <w:rsid w:val="36BE732B"/>
    <w:rsid w:val="36CC15BF"/>
    <w:rsid w:val="36D52B69"/>
    <w:rsid w:val="36F61435"/>
    <w:rsid w:val="36FE6ED5"/>
    <w:rsid w:val="37321D6A"/>
    <w:rsid w:val="3744384B"/>
    <w:rsid w:val="374A3B53"/>
    <w:rsid w:val="374A525E"/>
    <w:rsid w:val="375D49AD"/>
    <w:rsid w:val="376C30FB"/>
    <w:rsid w:val="37783776"/>
    <w:rsid w:val="377C4873"/>
    <w:rsid w:val="377C5F95"/>
    <w:rsid w:val="37A421DA"/>
    <w:rsid w:val="37AF33BA"/>
    <w:rsid w:val="37DB403E"/>
    <w:rsid w:val="37DB6B7A"/>
    <w:rsid w:val="37DE5A4E"/>
    <w:rsid w:val="37E001C6"/>
    <w:rsid w:val="37E30A13"/>
    <w:rsid w:val="37E939F0"/>
    <w:rsid w:val="380565B4"/>
    <w:rsid w:val="380753ED"/>
    <w:rsid w:val="3808659F"/>
    <w:rsid w:val="380A6843"/>
    <w:rsid w:val="380F3E59"/>
    <w:rsid w:val="38141E98"/>
    <w:rsid w:val="382C3D5E"/>
    <w:rsid w:val="383F1182"/>
    <w:rsid w:val="3848441C"/>
    <w:rsid w:val="385E39EF"/>
    <w:rsid w:val="387F5427"/>
    <w:rsid w:val="388163D9"/>
    <w:rsid w:val="38846370"/>
    <w:rsid w:val="38AF387C"/>
    <w:rsid w:val="38B46F00"/>
    <w:rsid w:val="38D425D9"/>
    <w:rsid w:val="38D60B95"/>
    <w:rsid w:val="390A2872"/>
    <w:rsid w:val="390E6049"/>
    <w:rsid w:val="39136878"/>
    <w:rsid w:val="39213C39"/>
    <w:rsid w:val="39314A32"/>
    <w:rsid w:val="39411259"/>
    <w:rsid w:val="3945187D"/>
    <w:rsid w:val="395530C0"/>
    <w:rsid w:val="395E385E"/>
    <w:rsid w:val="396161C8"/>
    <w:rsid w:val="39746B50"/>
    <w:rsid w:val="397C1E1E"/>
    <w:rsid w:val="39930ABA"/>
    <w:rsid w:val="399C171C"/>
    <w:rsid w:val="399E57F1"/>
    <w:rsid w:val="39A4228B"/>
    <w:rsid w:val="39E03482"/>
    <w:rsid w:val="39EF3161"/>
    <w:rsid w:val="39FC5815"/>
    <w:rsid w:val="39FE6016"/>
    <w:rsid w:val="3A0E4E10"/>
    <w:rsid w:val="3A3B1C5E"/>
    <w:rsid w:val="3A412722"/>
    <w:rsid w:val="3A4128B9"/>
    <w:rsid w:val="3A4C56E8"/>
    <w:rsid w:val="3A52726E"/>
    <w:rsid w:val="3A573895"/>
    <w:rsid w:val="3A654994"/>
    <w:rsid w:val="3A7206CF"/>
    <w:rsid w:val="3A903D07"/>
    <w:rsid w:val="3A9471DC"/>
    <w:rsid w:val="3A966E36"/>
    <w:rsid w:val="3A991F50"/>
    <w:rsid w:val="3AA0319D"/>
    <w:rsid w:val="3AA749C3"/>
    <w:rsid w:val="3AAD2D34"/>
    <w:rsid w:val="3AB17449"/>
    <w:rsid w:val="3AC20C0B"/>
    <w:rsid w:val="3AD969A0"/>
    <w:rsid w:val="3AE34281"/>
    <w:rsid w:val="3AEA295B"/>
    <w:rsid w:val="3AFF5A47"/>
    <w:rsid w:val="3B133C60"/>
    <w:rsid w:val="3B1808F9"/>
    <w:rsid w:val="3B194FEF"/>
    <w:rsid w:val="3B257BD5"/>
    <w:rsid w:val="3B2676F6"/>
    <w:rsid w:val="3B273268"/>
    <w:rsid w:val="3B28581A"/>
    <w:rsid w:val="3B590CD4"/>
    <w:rsid w:val="3B7075AE"/>
    <w:rsid w:val="3B712E10"/>
    <w:rsid w:val="3B7D0690"/>
    <w:rsid w:val="3B952899"/>
    <w:rsid w:val="3B954675"/>
    <w:rsid w:val="3B9603ED"/>
    <w:rsid w:val="3BA6496C"/>
    <w:rsid w:val="3BAC7C11"/>
    <w:rsid w:val="3BAE73C3"/>
    <w:rsid w:val="3BD31641"/>
    <w:rsid w:val="3BDC2E67"/>
    <w:rsid w:val="3BE9223B"/>
    <w:rsid w:val="3C0279BF"/>
    <w:rsid w:val="3C1964A9"/>
    <w:rsid w:val="3C3B2723"/>
    <w:rsid w:val="3C4544BA"/>
    <w:rsid w:val="3C6A561C"/>
    <w:rsid w:val="3C6C37AC"/>
    <w:rsid w:val="3C862EBA"/>
    <w:rsid w:val="3C874E16"/>
    <w:rsid w:val="3CC15468"/>
    <w:rsid w:val="3CDD1D17"/>
    <w:rsid w:val="3CE25400"/>
    <w:rsid w:val="3CEF5FB5"/>
    <w:rsid w:val="3CF90C34"/>
    <w:rsid w:val="3CFC4FD8"/>
    <w:rsid w:val="3CFF79A3"/>
    <w:rsid w:val="3D044FB8"/>
    <w:rsid w:val="3D095F22"/>
    <w:rsid w:val="3D1D240A"/>
    <w:rsid w:val="3D360C5F"/>
    <w:rsid w:val="3D3E7892"/>
    <w:rsid w:val="3D4538EB"/>
    <w:rsid w:val="3D5F079D"/>
    <w:rsid w:val="3D693643"/>
    <w:rsid w:val="3D764B9C"/>
    <w:rsid w:val="3D7E74D1"/>
    <w:rsid w:val="3DA454CB"/>
    <w:rsid w:val="3DA8646D"/>
    <w:rsid w:val="3DB55D06"/>
    <w:rsid w:val="3DE43692"/>
    <w:rsid w:val="3DEC0798"/>
    <w:rsid w:val="3E023FC9"/>
    <w:rsid w:val="3E2E7003"/>
    <w:rsid w:val="3E3754B3"/>
    <w:rsid w:val="3E3B16CC"/>
    <w:rsid w:val="3E42660A"/>
    <w:rsid w:val="3E4D63CA"/>
    <w:rsid w:val="3E53703D"/>
    <w:rsid w:val="3E6D18D9"/>
    <w:rsid w:val="3E9A1FA2"/>
    <w:rsid w:val="3EAB45EF"/>
    <w:rsid w:val="3EAF4ABF"/>
    <w:rsid w:val="3EB242DF"/>
    <w:rsid w:val="3EBC2D9D"/>
    <w:rsid w:val="3F16360F"/>
    <w:rsid w:val="3F1E0E25"/>
    <w:rsid w:val="3F3B2B68"/>
    <w:rsid w:val="3F44567B"/>
    <w:rsid w:val="3F4A7E6C"/>
    <w:rsid w:val="3F595A9F"/>
    <w:rsid w:val="3F76656C"/>
    <w:rsid w:val="3F7B6278"/>
    <w:rsid w:val="3F870735"/>
    <w:rsid w:val="3F8A6DB9"/>
    <w:rsid w:val="3F926BF9"/>
    <w:rsid w:val="3FA613B2"/>
    <w:rsid w:val="3FD140EA"/>
    <w:rsid w:val="3FDF3B97"/>
    <w:rsid w:val="3FFA427C"/>
    <w:rsid w:val="3FFE14D4"/>
    <w:rsid w:val="400A0EFA"/>
    <w:rsid w:val="4016792E"/>
    <w:rsid w:val="40610FCA"/>
    <w:rsid w:val="40724744"/>
    <w:rsid w:val="4077259B"/>
    <w:rsid w:val="40876CAD"/>
    <w:rsid w:val="40AA6B19"/>
    <w:rsid w:val="40C34322"/>
    <w:rsid w:val="40CB6B05"/>
    <w:rsid w:val="40DD7982"/>
    <w:rsid w:val="41060060"/>
    <w:rsid w:val="411B6DAD"/>
    <w:rsid w:val="411D19A2"/>
    <w:rsid w:val="412C5F39"/>
    <w:rsid w:val="41344930"/>
    <w:rsid w:val="414208E0"/>
    <w:rsid w:val="41450811"/>
    <w:rsid w:val="417A7D2A"/>
    <w:rsid w:val="41830093"/>
    <w:rsid w:val="41A2189A"/>
    <w:rsid w:val="41C46DAE"/>
    <w:rsid w:val="4202058A"/>
    <w:rsid w:val="42165DE4"/>
    <w:rsid w:val="421D317F"/>
    <w:rsid w:val="423846DA"/>
    <w:rsid w:val="425F3420"/>
    <w:rsid w:val="42637A7F"/>
    <w:rsid w:val="426C5928"/>
    <w:rsid w:val="427E0D65"/>
    <w:rsid w:val="42846287"/>
    <w:rsid w:val="428F5CE8"/>
    <w:rsid w:val="42C60B93"/>
    <w:rsid w:val="42C8130B"/>
    <w:rsid w:val="42D7479D"/>
    <w:rsid w:val="42DA00E4"/>
    <w:rsid w:val="42DA2620"/>
    <w:rsid w:val="42EA67D6"/>
    <w:rsid w:val="433E2808"/>
    <w:rsid w:val="435B7631"/>
    <w:rsid w:val="436460D4"/>
    <w:rsid w:val="43684B18"/>
    <w:rsid w:val="436F7EA2"/>
    <w:rsid w:val="439F3761"/>
    <w:rsid w:val="43D11FBA"/>
    <w:rsid w:val="43E041E7"/>
    <w:rsid w:val="43F16A08"/>
    <w:rsid w:val="43FD1EA8"/>
    <w:rsid w:val="441E48D3"/>
    <w:rsid w:val="442B731A"/>
    <w:rsid w:val="4447497A"/>
    <w:rsid w:val="444A517E"/>
    <w:rsid w:val="44525E36"/>
    <w:rsid w:val="44620896"/>
    <w:rsid w:val="44644CAC"/>
    <w:rsid w:val="448512C7"/>
    <w:rsid w:val="448E3267"/>
    <w:rsid w:val="44A122DD"/>
    <w:rsid w:val="44B10126"/>
    <w:rsid w:val="44BF2763"/>
    <w:rsid w:val="44D218C0"/>
    <w:rsid w:val="44D26964"/>
    <w:rsid w:val="44FA3D20"/>
    <w:rsid w:val="45071D42"/>
    <w:rsid w:val="450A60D4"/>
    <w:rsid w:val="45151E59"/>
    <w:rsid w:val="451859C8"/>
    <w:rsid w:val="45261FD2"/>
    <w:rsid w:val="45401889"/>
    <w:rsid w:val="454C6D25"/>
    <w:rsid w:val="455C0027"/>
    <w:rsid w:val="455D68B7"/>
    <w:rsid w:val="456034D8"/>
    <w:rsid w:val="45750CA8"/>
    <w:rsid w:val="457B7A6B"/>
    <w:rsid w:val="45800A99"/>
    <w:rsid w:val="45B97975"/>
    <w:rsid w:val="45C86501"/>
    <w:rsid w:val="45EE3517"/>
    <w:rsid w:val="45FC36F3"/>
    <w:rsid w:val="46197084"/>
    <w:rsid w:val="46264AA8"/>
    <w:rsid w:val="462D302E"/>
    <w:rsid w:val="463C6C9D"/>
    <w:rsid w:val="463E331B"/>
    <w:rsid w:val="46470C62"/>
    <w:rsid w:val="464E3D9E"/>
    <w:rsid w:val="46620DB4"/>
    <w:rsid w:val="467A231F"/>
    <w:rsid w:val="468F07B3"/>
    <w:rsid w:val="46A120C2"/>
    <w:rsid w:val="46B86E94"/>
    <w:rsid w:val="46DC090A"/>
    <w:rsid w:val="46F252E1"/>
    <w:rsid w:val="47223FBE"/>
    <w:rsid w:val="472D0B40"/>
    <w:rsid w:val="472D60AA"/>
    <w:rsid w:val="4735707C"/>
    <w:rsid w:val="474D04FA"/>
    <w:rsid w:val="474F0989"/>
    <w:rsid w:val="47654775"/>
    <w:rsid w:val="477A5BBB"/>
    <w:rsid w:val="477C0DDF"/>
    <w:rsid w:val="479E76D0"/>
    <w:rsid w:val="479F740E"/>
    <w:rsid w:val="47AA4B3C"/>
    <w:rsid w:val="47AB7E0D"/>
    <w:rsid w:val="47B13072"/>
    <w:rsid w:val="47B4257B"/>
    <w:rsid w:val="47B66D97"/>
    <w:rsid w:val="47C3398C"/>
    <w:rsid w:val="47FF2BD8"/>
    <w:rsid w:val="48036E0A"/>
    <w:rsid w:val="481275AB"/>
    <w:rsid w:val="481D7EC0"/>
    <w:rsid w:val="48661018"/>
    <w:rsid w:val="48790E7B"/>
    <w:rsid w:val="48912261"/>
    <w:rsid w:val="48913EF2"/>
    <w:rsid w:val="48C117B3"/>
    <w:rsid w:val="48CB4354"/>
    <w:rsid w:val="48D96EB7"/>
    <w:rsid w:val="48F538AD"/>
    <w:rsid w:val="490329B9"/>
    <w:rsid w:val="49254416"/>
    <w:rsid w:val="492855F6"/>
    <w:rsid w:val="493D759A"/>
    <w:rsid w:val="49555444"/>
    <w:rsid w:val="49690EEF"/>
    <w:rsid w:val="498126DD"/>
    <w:rsid w:val="49814E25"/>
    <w:rsid w:val="498B6043"/>
    <w:rsid w:val="499E3372"/>
    <w:rsid w:val="49A168DB"/>
    <w:rsid w:val="49A76262"/>
    <w:rsid w:val="49B760FE"/>
    <w:rsid w:val="49C26770"/>
    <w:rsid w:val="49D61B8B"/>
    <w:rsid w:val="49E35145"/>
    <w:rsid w:val="49E62540"/>
    <w:rsid w:val="49F7474D"/>
    <w:rsid w:val="49F95C9B"/>
    <w:rsid w:val="49FC0D85"/>
    <w:rsid w:val="4A0610D7"/>
    <w:rsid w:val="4A1B5D6B"/>
    <w:rsid w:val="4A2A3F93"/>
    <w:rsid w:val="4A2B43F6"/>
    <w:rsid w:val="4A2E4FDA"/>
    <w:rsid w:val="4A3239D7"/>
    <w:rsid w:val="4A3719DF"/>
    <w:rsid w:val="4A407ACE"/>
    <w:rsid w:val="4A5768D1"/>
    <w:rsid w:val="4A6930F0"/>
    <w:rsid w:val="4A745F12"/>
    <w:rsid w:val="4A7F2C3E"/>
    <w:rsid w:val="4A853D72"/>
    <w:rsid w:val="4A8C5FF2"/>
    <w:rsid w:val="4A9E20D8"/>
    <w:rsid w:val="4AA035D7"/>
    <w:rsid w:val="4AA509ED"/>
    <w:rsid w:val="4AC7342A"/>
    <w:rsid w:val="4AC77A14"/>
    <w:rsid w:val="4AC81D2B"/>
    <w:rsid w:val="4ACE795F"/>
    <w:rsid w:val="4ACF7938"/>
    <w:rsid w:val="4ADD30DA"/>
    <w:rsid w:val="4ADD5A1A"/>
    <w:rsid w:val="4AE03433"/>
    <w:rsid w:val="4AF03804"/>
    <w:rsid w:val="4AF56337"/>
    <w:rsid w:val="4B332897"/>
    <w:rsid w:val="4B4275E6"/>
    <w:rsid w:val="4B5B5597"/>
    <w:rsid w:val="4B6243E6"/>
    <w:rsid w:val="4B631B4F"/>
    <w:rsid w:val="4B666285"/>
    <w:rsid w:val="4B771FE9"/>
    <w:rsid w:val="4B7C34F8"/>
    <w:rsid w:val="4BA52421"/>
    <w:rsid w:val="4BB32574"/>
    <w:rsid w:val="4BB453A2"/>
    <w:rsid w:val="4BD553EE"/>
    <w:rsid w:val="4BEE5DA8"/>
    <w:rsid w:val="4C055E55"/>
    <w:rsid w:val="4C0939FB"/>
    <w:rsid w:val="4C1D52F0"/>
    <w:rsid w:val="4C210D59"/>
    <w:rsid w:val="4C214A44"/>
    <w:rsid w:val="4C242F80"/>
    <w:rsid w:val="4C4A4D8C"/>
    <w:rsid w:val="4C534C3E"/>
    <w:rsid w:val="4C574383"/>
    <w:rsid w:val="4C6349DC"/>
    <w:rsid w:val="4C677D8B"/>
    <w:rsid w:val="4C7950F4"/>
    <w:rsid w:val="4CA53C50"/>
    <w:rsid w:val="4CAF4561"/>
    <w:rsid w:val="4CB66DC5"/>
    <w:rsid w:val="4CC965CE"/>
    <w:rsid w:val="4D0B0DDB"/>
    <w:rsid w:val="4D27572A"/>
    <w:rsid w:val="4D4B3840"/>
    <w:rsid w:val="4D4B54DB"/>
    <w:rsid w:val="4D7D140D"/>
    <w:rsid w:val="4D9A3B9C"/>
    <w:rsid w:val="4DA41222"/>
    <w:rsid w:val="4DA83528"/>
    <w:rsid w:val="4DA870F2"/>
    <w:rsid w:val="4DC31516"/>
    <w:rsid w:val="4DC81789"/>
    <w:rsid w:val="4DD5074E"/>
    <w:rsid w:val="4DD83786"/>
    <w:rsid w:val="4DE2415A"/>
    <w:rsid w:val="4DEE65EE"/>
    <w:rsid w:val="4DFA7970"/>
    <w:rsid w:val="4DFB19B8"/>
    <w:rsid w:val="4E03545C"/>
    <w:rsid w:val="4E04568A"/>
    <w:rsid w:val="4E3046D1"/>
    <w:rsid w:val="4E32614E"/>
    <w:rsid w:val="4E332183"/>
    <w:rsid w:val="4E721F29"/>
    <w:rsid w:val="4E77531B"/>
    <w:rsid w:val="4E7B1C7A"/>
    <w:rsid w:val="4E811217"/>
    <w:rsid w:val="4E874546"/>
    <w:rsid w:val="4E8F4ECD"/>
    <w:rsid w:val="4E9702AC"/>
    <w:rsid w:val="4E9B6643"/>
    <w:rsid w:val="4EA41D4B"/>
    <w:rsid w:val="4EA9502F"/>
    <w:rsid w:val="4EAF659C"/>
    <w:rsid w:val="4EB46B62"/>
    <w:rsid w:val="4ED1102B"/>
    <w:rsid w:val="4EE31744"/>
    <w:rsid w:val="4EEE25C2"/>
    <w:rsid w:val="4F05790C"/>
    <w:rsid w:val="4F3B294D"/>
    <w:rsid w:val="4F3F78E3"/>
    <w:rsid w:val="4F6B59C1"/>
    <w:rsid w:val="4F756840"/>
    <w:rsid w:val="4F9D39D1"/>
    <w:rsid w:val="4F9F11D6"/>
    <w:rsid w:val="4FB63203"/>
    <w:rsid w:val="4FC54184"/>
    <w:rsid w:val="4FCB2837"/>
    <w:rsid w:val="4FD25A40"/>
    <w:rsid w:val="4FDA48F5"/>
    <w:rsid w:val="50050C1D"/>
    <w:rsid w:val="501C615F"/>
    <w:rsid w:val="50235A38"/>
    <w:rsid w:val="50322DB2"/>
    <w:rsid w:val="503D5850"/>
    <w:rsid w:val="50421B1A"/>
    <w:rsid w:val="50432ADF"/>
    <w:rsid w:val="50460E8B"/>
    <w:rsid w:val="50562DD2"/>
    <w:rsid w:val="50C11611"/>
    <w:rsid w:val="50C23D07"/>
    <w:rsid w:val="50D942FC"/>
    <w:rsid w:val="50DC3D36"/>
    <w:rsid w:val="50FA4C3F"/>
    <w:rsid w:val="50FE401E"/>
    <w:rsid w:val="511930D9"/>
    <w:rsid w:val="511B6F73"/>
    <w:rsid w:val="512F1E25"/>
    <w:rsid w:val="51330148"/>
    <w:rsid w:val="513C207B"/>
    <w:rsid w:val="5151508A"/>
    <w:rsid w:val="51546B01"/>
    <w:rsid w:val="51617ACC"/>
    <w:rsid w:val="51705511"/>
    <w:rsid w:val="51714DE5"/>
    <w:rsid w:val="519F4F97"/>
    <w:rsid w:val="51A554F3"/>
    <w:rsid w:val="51B44583"/>
    <w:rsid w:val="51BF3F8B"/>
    <w:rsid w:val="51C43DF3"/>
    <w:rsid w:val="51C818CF"/>
    <w:rsid w:val="51D04DB2"/>
    <w:rsid w:val="51D07D5D"/>
    <w:rsid w:val="51DC4954"/>
    <w:rsid w:val="51E46EE6"/>
    <w:rsid w:val="51E728D6"/>
    <w:rsid w:val="51E952C3"/>
    <w:rsid w:val="51F41F1C"/>
    <w:rsid w:val="51F53C68"/>
    <w:rsid w:val="52037AF2"/>
    <w:rsid w:val="520605DB"/>
    <w:rsid w:val="520D10B8"/>
    <w:rsid w:val="52146DDD"/>
    <w:rsid w:val="5218136F"/>
    <w:rsid w:val="52261AB8"/>
    <w:rsid w:val="522A0590"/>
    <w:rsid w:val="523E560F"/>
    <w:rsid w:val="525D2004"/>
    <w:rsid w:val="526130AB"/>
    <w:rsid w:val="52637DE5"/>
    <w:rsid w:val="526836EB"/>
    <w:rsid w:val="52697B69"/>
    <w:rsid w:val="52812C88"/>
    <w:rsid w:val="528821CF"/>
    <w:rsid w:val="528A3A6F"/>
    <w:rsid w:val="52911BE2"/>
    <w:rsid w:val="52B92EE7"/>
    <w:rsid w:val="52C50E72"/>
    <w:rsid w:val="52DC5F78"/>
    <w:rsid w:val="52DF01A4"/>
    <w:rsid w:val="52EF0BBB"/>
    <w:rsid w:val="531C047B"/>
    <w:rsid w:val="531D073C"/>
    <w:rsid w:val="53256C92"/>
    <w:rsid w:val="532C2B11"/>
    <w:rsid w:val="53370970"/>
    <w:rsid w:val="534A1AD6"/>
    <w:rsid w:val="53592443"/>
    <w:rsid w:val="5362090C"/>
    <w:rsid w:val="5377153F"/>
    <w:rsid w:val="53822ADC"/>
    <w:rsid w:val="538F156D"/>
    <w:rsid w:val="539F04C8"/>
    <w:rsid w:val="53CC133F"/>
    <w:rsid w:val="53D15CE4"/>
    <w:rsid w:val="53EA2ECA"/>
    <w:rsid w:val="541B4DEB"/>
    <w:rsid w:val="54223D7A"/>
    <w:rsid w:val="543C4DFA"/>
    <w:rsid w:val="544568CB"/>
    <w:rsid w:val="54520EFE"/>
    <w:rsid w:val="545C035E"/>
    <w:rsid w:val="545D247D"/>
    <w:rsid w:val="5461359C"/>
    <w:rsid w:val="546779D8"/>
    <w:rsid w:val="54684BC5"/>
    <w:rsid w:val="546D587C"/>
    <w:rsid w:val="547869DA"/>
    <w:rsid w:val="54821D35"/>
    <w:rsid w:val="548D78D4"/>
    <w:rsid w:val="54905E06"/>
    <w:rsid w:val="5493163F"/>
    <w:rsid w:val="54956384"/>
    <w:rsid w:val="54AE179E"/>
    <w:rsid w:val="54BD6D08"/>
    <w:rsid w:val="550454B0"/>
    <w:rsid w:val="55244636"/>
    <w:rsid w:val="554C1D8A"/>
    <w:rsid w:val="555416C9"/>
    <w:rsid w:val="555E71FF"/>
    <w:rsid w:val="55866DF7"/>
    <w:rsid w:val="55880EF7"/>
    <w:rsid w:val="55C73011"/>
    <w:rsid w:val="55C833CF"/>
    <w:rsid w:val="55E131B9"/>
    <w:rsid w:val="55E227E7"/>
    <w:rsid w:val="56197939"/>
    <w:rsid w:val="56947758"/>
    <w:rsid w:val="56AB0D99"/>
    <w:rsid w:val="56E41812"/>
    <w:rsid w:val="56EC31C5"/>
    <w:rsid w:val="56F50266"/>
    <w:rsid w:val="56FF034E"/>
    <w:rsid w:val="57033FBC"/>
    <w:rsid w:val="570603E9"/>
    <w:rsid w:val="57192553"/>
    <w:rsid w:val="571C7556"/>
    <w:rsid w:val="572B451F"/>
    <w:rsid w:val="572F3C92"/>
    <w:rsid w:val="57316C19"/>
    <w:rsid w:val="573325BC"/>
    <w:rsid w:val="57471CA9"/>
    <w:rsid w:val="574B3487"/>
    <w:rsid w:val="57711FE2"/>
    <w:rsid w:val="578F53FE"/>
    <w:rsid w:val="57BA0880"/>
    <w:rsid w:val="57D12D4D"/>
    <w:rsid w:val="57D7102F"/>
    <w:rsid w:val="57E176C8"/>
    <w:rsid w:val="57EA0DE0"/>
    <w:rsid w:val="58093842"/>
    <w:rsid w:val="580B3B7B"/>
    <w:rsid w:val="58197F69"/>
    <w:rsid w:val="582042E1"/>
    <w:rsid w:val="58446CDA"/>
    <w:rsid w:val="58555460"/>
    <w:rsid w:val="58736963"/>
    <w:rsid w:val="58755669"/>
    <w:rsid w:val="587D7828"/>
    <w:rsid w:val="58813C17"/>
    <w:rsid w:val="58823647"/>
    <w:rsid w:val="58905516"/>
    <w:rsid w:val="58AB1402"/>
    <w:rsid w:val="58BF3155"/>
    <w:rsid w:val="58C73027"/>
    <w:rsid w:val="58CC0D0E"/>
    <w:rsid w:val="58D171FD"/>
    <w:rsid w:val="58D47FEA"/>
    <w:rsid w:val="58DA7DBC"/>
    <w:rsid w:val="58E04CC8"/>
    <w:rsid w:val="59057F6B"/>
    <w:rsid w:val="5965605E"/>
    <w:rsid w:val="596643D5"/>
    <w:rsid w:val="596F4236"/>
    <w:rsid w:val="597D4C6F"/>
    <w:rsid w:val="598051D7"/>
    <w:rsid w:val="59830540"/>
    <w:rsid w:val="59892E2D"/>
    <w:rsid w:val="598F6750"/>
    <w:rsid w:val="5991098F"/>
    <w:rsid w:val="599C71E2"/>
    <w:rsid w:val="59A662C5"/>
    <w:rsid w:val="59BA3FF2"/>
    <w:rsid w:val="59CE3D10"/>
    <w:rsid w:val="5A0F20EC"/>
    <w:rsid w:val="5A1924BD"/>
    <w:rsid w:val="5A1D4174"/>
    <w:rsid w:val="5A3F691F"/>
    <w:rsid w:val="5A4563A3"/>
    <w:rsid w:val="5A562335"/>
    <w:rsid w:val="5A595566"/>
    <w:rsid w:val="5A5C49E1"/>
    <w:rsid w:val="5A615BD7"/>
    <w:rsid w:val="5A772FDA"/>
    <w:rsid w:val="5A973C5F"/>
    <w:rsid w:val="5AA319B7"/>
    <w:rsid w:val="5AC42F17"/>
    <w:rsid w:val="5AC661A1"/>
    <w:rsid w:val="5AF9665A"/>
    <w:rsid w:val="5B0171D9"/>
    <w:rsid w:val="5B281651"/>
    <w:rsid w:val="5BAE5C5C"/>
    <w:rsid w:val="5BB82BE7"/>
    <w:rsid w:val="5BBA1A26"/>
    <w:rsid w:val="5BC40FA3"/>
    <w:rsid w:val="5BC56459"/>
    <w:rsid w:val="5BD62A40"/>
    <w:rsid w:val="5BE25A0B"/>
    <w:rsid w:val="5BE44C2F"/>
    <w:rsid w:val="5BED1B02"/>
    <w:rsid w:val="5BED29FC"/>
    <w:rsid w:val="5C167E37"/>
    <w:rsid w:val="5C233D58"/>
    <w:rsid w:val="5C3A0CCE"/>
    <w:rsid w:val="5C527330"/>
    <w:rsid w:val="5C57627A"/>
    <w:rsid w:val="5C91145B"/>
    <w:rsid w:val="5C9B365E"/>
    <w:rsid w:val="5CB65E3E"/>
    <w:rsid w:val="5CCA339A"/>
    <w:rsid w:val="5CD1707F"/>
    <w:rsid w:val="5CD60D42"/>
    <w:rsid w:val="5CEF0F84"/>
    <w:rsid w:val="5CFD1C22"/>
    <w:rsid w:val="5D0977AE"/>
    <w:rsid w:val="5D140CA7"/>
    <w:rsid w:val="5D3831C2"/>
    <w:rsid w:val="5D4D7773"/>
    <w:rsid w:val="5D6452B0"/>
    <w:rsid w:val="5D683EA4"/>
    <w:rsid w:val="5D7127E0"/>
    <w:rsid w:val="5D8D6CAD"/>
    <w:rsid w:val="5D9E368F"/>
    <w:rsid w:val="5DA16114"/>
    <w:rsid w:val="5DA60D46"/>
    <w:rsid w:val="5DB00089"/>
    <w:rsid w:val="5DB16EE2"/>
    <w:rsid w:val="5DB85137"/>
    <w:rsid w:val="5DBE7604"/>
    <w:rsid w:val="5DE46730"/>
    <w:rsid w:val="5DEB6C98"/>
    <w:rsid w:val="5E2610C9"/>
    <w:rsid w:val="5E3223D8"/>
    <w:rsid w:val="5E337FF2"/>
    <w:rsid w:val="5E5D6A6E"/>
    <w:rsid w:val="5E775F28"/>
    <w:rsid w:val="5E95193A"/>
    <w:rsid w:val="5E9E4667"/>
    <w:rsid w:val="5EB153BA"/>
    <w:rsid w:val="5EEF07EF"/>
    <w:rsid w:val="5EEF6DAC"/>
    <w:rsid w:val="5F155949"/>
    <w:rsid w:val="5F194EC2"/>
    <w:rsid w:val="5F2711D9"/>
    <w:rsid w:val="5F324D4C"/>
    <w:rsid w:val="5F435006"/>
    <w:rsid w:val="5F4B06A1"/>
    <w:rsid w:val="5F5123E5"/>
    <w:rsid w:val="5F5E08C6"/>
    <w:rsid w:val="5F7408C7"/>
    <w:rsid w:val="5F8A384C"/>
    <w:rsid w:val="5FB10531"/>
    <w:rsid w:val="5FB27EA2"/>
    <w:rsid w:val="5FC47F23"/>
    <w:rsid w:val="5FC60010"/>
    <w:rsid w:val="5FC70678"/>
    <w:rsid w:val="5FD0613A"/>
    <w:rsid w:val="5FE5531C"/>
    <w:rsid w:val="600913A8"/>
    <w:rsid w:val="600A2FD4"/>
    <w:rsid w:val="600D03CE"/>
    <w:rsid w:val="60196D73"/>
    <w:rsid w:val="602C2D22"/>
    <w:rsid w:val="602D1898"/>
    <w:rsid w:val="604162CA"/>
    <w:rsid w:val="605E643E"/>
    <w:rsid w:val="605E6A33"/>
    <w:rsid w:val="606310FB"/>
    <w:rsid w:val="607D270E"/>
    <w:rsid w:val="6085265B"/>
    <w:rsid w:val="609E49E4"/>
    <w:rsid w:val="60AE199E"/>
    <w:rsid w:val="60B767FF"/>
    <w:rsid w:val="60BB0F2F"/>
    <w:rsid w:val="60D6367C"/>
    <w:rsid w:val="60E17AE1"/>
    <w:rsid w:val="60E90C83"/>
    <w:rsid w:val="610F730F"/>
    <w:rsid w:val="61256795"/>
    <w:rsid w:val="613320B7"/>
    <w:rsid w:val="61454BC1"/>
    <w:rsid w:val="61561E3D"/>
    <w:rsid w:val="616532B3"/>
    <w:rsid w:val="619C585E"/>
    <w:rsid w:val="61A202A5"/>
    <w:rsid w:val="61B74B63"/>
    <w:rsid w:val="61EE7D3C"/>
    <w:rsid w:val="62090F21"/>
    <w:rsid w:val="620F7ED3"/>
    <w:rsid w:val="621B4483"/>
    <w:rsid w:val="6240500E"/>
    <w:rsid w:val="625422E5"/>
    <w:rsid w:val="626F711E"/>
    <w:rsid w:val="62945D46"/>
    <w:rsid w:val="629B135D"/>
    <w:rsid w:val="62AA63A9"/>
    <w:rsid w:val="62AB0735"/>
    <w:rsid w:val="62B87570"/>
    <w:rsid w:val="62C17277"/>
    <w:rsid w:val="62DB47B4"/>
    <w:rsid w:val="62EA4391"/>
    <w:rsid w:val="62F20533"/>
    <w:rsid w:val="62FF6523"/>
    <w:rsid w:val="630932C0"/>
    <w:rsid w:val="6332625F"/>
    <w:rsid w:val="6338611E"/>
    <w:rsid w:val="633D4E8A"/>
    <w:rsid w:val="63434B6E"/>
    <w:rsid w:val="634534C7"/>
    <w:rsid w:val="63471E49"/>
    <w:rsid w:val="63496567"/>
    <w:rsid w:val="634A36E8"/>
    <w:rsid w:val="63562D9C"/>
    <w:rsid w:val="635A4CFD"/>
    <w:rsid w:val="636B5F1E"/>
    <w:rsid w:val="63A73959"/>
    <w:rsid w:val="63B65D6C"/>
    <w:rsid w:val="63DD29B1"/>
    <w:rsid w:val="63FA510E"/>
    <w:rsid w:val="63FD7C0C"/>
    <w:rsid w:val="641D57D0"/>
    <w:rsid w:val="642D7291"/>
    <w:rsid w:val="643C74D4"/>
    <w:rsid w:val="6443129A"/>
    <w:rsid w:val="644E0249"/>
    <w:rsid w:val="64632CB3"/>
    <w:rsid w:val="64664551"/>
    <w:rsid w:val="646823FB"/>
    <w:rsid w:val="646C600B"/>
    <w:rsid w:val="646D2A61"/>
    <w:rsid w:val="64785FDA"/>
    <w:rsid w:val="647C4E10"/>
    <w:rsid w:val="648F0A78"/>
    <w:rsid w:val="64983396"/>
    <w:rsid w:val="64B259E8"/>
    <w:rsid w:val="64B628CD"/>
    <w:rsid w:val="64D043BD"/>
    <w:rsid w:val="64DC5A55"/>
    <w:rsid w:val="651F159C"/>
    <w:rsid w:val="652D1B59"/>
    <w:rsid w:val="652F0DE7"/>
    <w:rsid w:val="6539767A"/>
    <w:rsid w:val="653A1E57"/>
    <w:rsid w:val="654646D0"/>
    <w:rsid w:val="65540961"/>
    <w:rsid w:val="65732430"/>
    <w:rsid w:val="6578278E"/>
    <w:rsid w:val="658F3AF4"/>
    <w:rsid w:val="65A405B0"/>
    <w:rsid w:val="65B4694D"/>
    <w:rsid w:val="65BC0E7E"/>
    <w:rsid w:val="65C71020"/>
    <w:rsid w:val="65D023D2"/>
    <w:rsid w:val="65D67976"/>
    <w:rsid w:val="65DC0B09"/>
    <w:rsid w:val="65DC2234"/>
    <w:rsid w:val="65DF45BB"/>
    <w:rsid w:val="65E67405"/>
    <w:rsid w:val="65F71D17"/>
    <w:rsid w:val="65FB37B7"/>
    <w:rsid w:val="6600641B"/>
    <w:rsid w:val="66031039"/>
    <w:rsid w:val="66140656"/>
    <w:rsid w:val="66171CB9"/>
    <w:rsid w:val="661F6CB8"/>
    <w:rsid w:val="662C0E8C"/>
    <w:rsid w:val="663A7DDA"/>
    <w:rsid w:val="66513745"/>
    <w:rsid w:val="66554B04"/>
    <w:rsid w:val="666779CE"/>
    <w:rsid w:val="6675133C"/>
    <w:rsid w:val="66800A67"/>
    <w:rsid w:val="6681052B"/>
    <w:rsid w:val="66820B8D"/>
    <w:rsid w:val="66925AD1"/>
    <w:rsid w:val="66B8311F"/>
    <w:rsid w:val="66BE0BC4"/>
    <w:rsid w:val="66C814F3"/>
    <w:rsid w:val="66CB6FC7"/>
    <w:rsid w:val="66CC6D9F"/>
    <w:rsid w:val="66D743D7"/>
    <w:rsid w:val="66E00C60"/>
    <w:rsid w:val="67172281"/>
    <w:rsid w:val="671D2048"/>
    <w:rsid w:val="672E4885"/>
    <w:rsid w:val="672F3828"/>
    <w:rsid w:val="673948FE"/>
    <w:rsid w:val="67661A76"/>
    <w:rsid w:val="676C20F3"/>
    <w:rsid w:val="6774140E"/>
    <w:rsid w:val="678E0047"/>
    <w:rsid w:val="679118E5"/>
    <w:rsid w:val="67934682"/>
    <w:rsid w:val="67C66466"/>
    <w:rsid w:val="67D504E0"/>
    <w:rsid w:val="67DA4945"/>
    <w:rsid w:val="67E93E72"/>
    <w:rsid w:val="680B6D92"/>
    <w:rsid w:val="681464E5"/>
    <w:rsid w:val="68185D14"/>
    <w:rsid w:val="68370C4E"/>
    <w:rsid w:val="68415BFC"/>
    <w:rsid w:val="68466B73"/>
    <w:rsid w:val="68482C4F"/>
    <w:rsid w:val="685935C7"/>
    <w:rsid w:val="685F7C35"/>
    <w:rsid w:val="68662D72"/>
    <w:rsid w:val="68696EDC"/>
    <w:rsid w:val="6884468C"/>
    <w:rsid w:val="688A035A"/>
    <w:rsid w:val="68AB20D2"/>
    <w:rsid w:val="68B57EC2"/>
    <w:rsid w:val="68BD3C0F"/>
    <w:rsid w:val="68CC0F05"/>
    <w:rsid w:val="68D32A8E"/>
    <w:rsid w:val="68D802DB"/>
    <w:rsid w:val="68D96268"/>
    <w:rsid w:val="68DA4C21"/>
    <w:rsid w:val="68DF04B4"/>
    <w:rsid w:val="69001F64"/>
    <w:rsid w:val="69024DD3"/>
    <w:rsid w:val="69041FD2"/>
    <w:rsid w:val="690A71A4"/>
    <w:rsid w:val="69220939"/>
    <w:rsid w:val="692A63B1"/>
    <w:rsid w:val="6940586B"/>
    <w:rsid w:val="694652C7"/>
    <w:rsid w:val="694B7F95"/>
    <w:rsid w:val="694F54F5"/>
    <w:rsid w:val="694F7CAA"/>
    <w:rsid w:val="696014CB"/>
    <w:rsid w:val="69897465"/>
    <w:rsid w:val="698F2C76"/>
    <w:rsid w:val="69933621"/>
    <w:rsid w:val="69A55C44"/>
    <w:rsid w:val="69C951A3"/>
    <w:rsid w:val="69EF5AC6"/>
    <w:rsid w:val="69F766CD"/>
    <w:rsid w:val="6A1D3F68"/>
    <w:rsid w:val="6A2D2494"/>
    <w:rsid w:val="6A310E72"/>
    <w:rsid w:val="6A3A26C9"/>
    <w:rsid w:val="6A525833"/>
    <w:rsid w:val="6A6D7AAB"/>
    <w:rsid w:val="6A707ED8"/>
    <w:rsid w:val="6A7844EC"/>
    <w:rsid w:val="6A7B0BF8"/>
    <w:rsid w:val="6A9F256B"/>
    <w:rsid w:val="6AA411AD"/>
    <w:rsid w:val="6AA4190D"/>
    <w:rsid w:val="6AC02C0D"/>
    <w:rsid w:val="6ACF10A2"/>
    <w:rsid w:val="6AD82343"/>
    <w:rsid w:val="6B076ACC"/>
    <w:rsid w:val="6B20702C"/>
    <w:rsid w:val="6B6C6781"/>
    <w:rsid w:val="6B7C465A"/>
    <w:rsid w:val="6B8B79FD"/>
    <w:rsid w:val="6B8D6B7B"/>
    <w:rsid w:val="6B9854FA"/>
    <w:rsid w:val="6BAB00E8"/>
    <w:rsid w:val="6BAF0CC7"/>
    <w:rsid w:val="6BBB3784"/>
    <w:rsid w:val="6BDF2048"/>
    <w:rsid w:val="6BE554BF"/>
    <w:rsid w:val="6BEC17E0"/>
    <w:rsid w:val="6BF902A7"/>
    <w:rsid w:val="6BFB5EC7"/>
    <w:rsid w:val="6C0B749B"/>
    <w:rsid w:val="6C1B5C48"/>
    <w:rsid w:val="6C1C54F5"/>
    <w:rsid w:val="6C516AC1"/>
    <w:rsid w:val="6C6A7AD0"/>
    <w:rsid w:val="6C7410F6"/>
    <w:rsid w:val="6C804D42"/>
    <w:rsid w:val="6CC14867"/>
    <w:rsid w:val="6CF61028"/>
    <w:rsid w:val="6D005388"/>
    <w:rsid w:val="6D064B23"/>
    <w:rsid w:val="6D335567"/>
    <w:rsid w:val="6D4318D3"/>
    <w:rsid w:val="6D456E56"/>
    <w:rsid w:val="6D5349E5"/>
    <w:rsid w:val="6D6D000F"/>
    <w:rsid w:val="6D7657DE"/>
    <w:rsid w:val="6D962219"/>
    <w:rsid w:val="6DC56B33"/>
    <w:rsid w:val="6DC92D8B"/>
    <w:rsid w:val="6DD37B81"/>
    <w:rsid w:val="6DF16145"/>
    <w:rsid w:val="6E070B53"/>
    <w:rsid w:val="6E0C52C3"/>
    <w:rsid w:val="6E144C91"/>
    <w:rsid w:val="6E1B0759"/>
    <w:rsid w:val="6E252916"/>
    <w:rsid w:val="6E3E71CA"/>
    <w:rsid w:val="6E441C04"/>
    <w:rsid w:val="6E443CC7"/>
    <w:rsid w:val="6E852A2B"/>
    <w:rsid w:val="6E9F3EB4"/>
    <w:rsid w:val="6EA940CA"/>
    <w:rsid w:val="6EAE7260"/>
    <w:rsid w:val="6EB76B06"/>
    <w:rsid w:val="6EBF3A33"/>
    <w:rsid w:val="6EC42B11"/>
    <w:rsid w:val="6EE825E8"/>
    <w:rsid w:val="6EED1AF7"/>
    <w:rsid w:val="6F051F42"/>
    <w:rsid w:val="6F0B2337"/>
    <w:rsid w:val="6F2E18CD"/>
    <w:rsid w:val="6F320E71"/>
    <w:rsid w:val="6F401A1B"/>
    <w:rsid w:val="6F422556"/>
    <w:rsid w:val="6F696CBC"/>
    <w:rsid w:val="6F6D2D25"/>
    <w:rsid w:val="6F743FC6"/>
    <w:rsid w:val="6F7615C2"/>
    <w:rsid w:val="6F7B61B3"/>
    <w:rsid w:val="6FC20A1E"/>
    <w:rsid w:val="6FCA7B5A"/>
    <w:rsid w:val="6FE32EFA"/>
    <w:rsid w:val="6FEB7BD6"/>
    <w:rsid w:val="6FF317C4"/>
    <w:rsid w:val="6FF96CC8"/>
    <w:rsid w:val="7038161B"/>
    <w:rsid w:val="70396BAF"/>
    <w:rsid w:val="70446EBD"/>
    <w:rsid w:val="7058305A"/>
    <w:rsid w:val="70682DE0"/>
    <w:rsid w:val="70785E0C"/>
    <w:rsid w:val="70972202"/>
    <w:rsid w:val="70A20D5A"/>
    <w:rsid w:val="70C37717"/>
    <w:rsid w:val="70D224BD"/>
    <w:rsid w:val="70D52750"/>
    <w:rsid w:val="70FF39A3"/>
    <w:rsid w:val="71166BBB"/>
    <w:rsid w:val="7121017E"/>
    <w:rsid w:val="7129761C"/>
    <w:rsid w:val="712E0A5D"/>
    <w:rsid w:val="7131641D"/>
    <w:rsid w:val="713B0432"/>
    <w:rsid w:val="71510F40"/>
    <w:rsid w:val="71A3796A"/>
    <w:rsid w:val="71A465B2"/>
    <w:rsid w:val="71CB0C24"/>
    <w:rsid w:val="71D15700"/>
    <w:rsid w:val="71D35FFB"/>
    <w:rsid w:val="71D7083C"/>
    <w:rsid w:val="71FD5648"/>
    <w:rsid w:val="71FE3495"/>
    <w:rsid w:val="722515A8"/>
    <w:rsid w:val="722F6821"/>
    <w:rsid w:val="723119D1"/>
    <w:rsid w:val="723E2669"/>
    <w:rsid w:val="72454394"/>
    <w:rsid w:val="728876AD"/>
    <w:rsid w:val="728D5B70"/>
    <w:rsid w:val="72984F63"/>
    <w:rsid w:val="72A018DC"/>
    <w:rsid w:val="72A75378"/>
    <w:rsid w:val="72AB5D3E"/>
    <w:rsid w:val="72B27C1F"/>
    <w:rsid w:val="72B666A4"/>
    <w:rsid w:val="72BB3CBA"/>
    <w:rsid w:val="72D059B7"/>
    <w:rsid w:val="72E3127A"/>
    <w:rsid w:val="72F21DD2"/>
    <w:rsid w:val="73020372"/>
    <w:rsid w:val="73031126"/>
    <w:rsid w:val="730D09BA"/>
    <w:rsid w:val="73242723"/>
    <w:rsid w:val="732B7092"/>
    <w:rsid w:val="734C228B"/>
    <w:rsid w:val="7365150F"/>
    <w:rsid w:val="736B0E44"/>
    <w:rsid w:val="73721A12"/>
    <w:rsid w:val="73744649"/>
    <w:rsid w:val="73764E2E"/>
    <w:rsid w:val="737C52D2"/>
    <w:rsid w:val="738541DD"/>
    <w:rsid w:val="738C7195"/>
    <w:rsid w:val="7395178A"/>
    <w:rsid w:val="73BE3AE7"/>
    <w:rsid w:val="73DA6911"/>
    <w:rsid w:val="73DF45AA"/>
    <w:rsid w:val="73E04818"/>
    <w:rsid w:val="73F72B60"/>
    <w:rsid w:val="740840BD"/>
    <w:rsid w:val="740D6F0F"/>
    <w:rsid w:val="7416389E"/>
    <w:rsid w:val="7450503A"/>
    <w:rsid w:val="7458558C"/>
    <w:rsid w:val="745A3929"/>
    <w:rsid w:val="74630F41"/>
    <w:rsid w:val="746C77CE"/>
    <w:rsid w:val="74841425"/>
    <w:rsid w:val="749112F4"/>
    <w:rsid w:val="749B5F47"/>
    <w:rsid w:val="74AB66DC"/>
    <w:rsid w:val="74AE7F7A"/>
    <w:rsid w:val="74B231EF"/>
    <w:rsid w:val="74E10461"/>
    <w:rsid w:val="74EE0377"/>
    <w:rsid w:val="75285D91"/>
    <w:rsid w:val="752E55CB"/>
    <w:rsid w:val="75341A04"/>
    <w:rsid w:val="755F1275"/>
    <w:rsid w:val="756B594D"/>
    <w:rsid w:val="75831F22"/>
    <w:rsid w:val="758419B3"/>
    <w:rsid w:val="75AD58E9"/>
    <w:rsid w:val="75CC20A9"/>
    <w:rsid w:val="75E050B1"/>
    <w:rsid w:val="75F220E9"/>
    <w:rsid w:val="75F30926"/>
    <w:rsid w:val="76086FFB"/>
    <w:rsid w:val="760E61F5"/>
    <w:rsid w:val="760F46CE"/>
    <w:rsid w:val="76120656"/>
    <w:rsid w:val="762D3F31"/>
    <w:rsid w:val="763E74F6"/>
    <w:rsid w:val="76576648"/>
    <w:rsid w:val="76607EC8"/>
    <w:rsid w:val="768118AA"/>
    <w:rsid w:val="768977C4"/>
    <w:rsid w:val="76960CC6"/>
    <w:rsid w:val="76A3045C"/>
    <w:rsid w:val="76AD694E"/>
    <w:rsid w:val="76E77774"/>
    <w:rsid w:val="76FC4082"/>
    <w:rsid w:val="76FD4C0D"/>
    <w:rsid w:val="76FF15A1"/>
    <w:rsid w:val="770924E4"/>
    <w:rsid w:val="7709351B"/>
    <w:rsid w:val="771942F1"/>
    <w:rsid w:val="771D33A0"/>
    <w:rsid w:val="77526C73"/>
    <w:rsid w:val="77576FA6"/>
    <w:rsid w:val="775D76E3"/>
    <w:rsid w:val="77853D46"/>
    <w:rsid w:val="779E6FBE"/>
    <w:rsid w:val="77C61898"/>
    <w:rsid w:val="77CB0E43"/>
    <w:rsid w:val="77DA1D24"/>
    <w:rsid w:val="77E4774E"/>
    <w:rsid w:val="77EE068E"/>
    <w:rsid w:val="77FA2B72"/>
    <w:rsid w:val="78103340"/>
    <w:rsid w:val="781A514A"/>
    <w:rsid w:val="78246502"/>
    <w:rsid w:val="7834176D"/>
    <w:rsid w:val="783869F9"/>
    <w:rsid w:val="783C3AEF"/>
    <w:rsid w:val="78495F60"/>
    <w:rsid w:val="785901BE"/>
    <w:rsid w:val="787F6033"/>
    <w:rsid w:val="78803C33"/>
    <w:rsid w:val="78A873CB"/>
    <w:rsid w:val="78BE0B86"/>
    <w:rsid w:val="78CB694F"/>
    <w:rsid w:val="78E40E77"/>
    <w:rsid w:val="78ED37FF"/>
    <w:rsid w:val="78F754FA"/>
    <w:rsid w:val="79163B00"/>
    <w:rsid w:val="79224BDE"/>
    <w:rsid w:val="79330A4E"/>
    <w:rsid w:val="793415AA"/>
    <w:rsid w:val="799A6D1F"/>
    <w:rsid w:val="79A83D3F"/>
    <w:rsid w:val="79B60BFE"/>
    <w:rsid w:val="79B674B2"/>
    <w:rsid w:val="79C15E47"/>
    <w:rsid w:val="79C27372"/>
    <w:rsid w:val="79DF2117"/>
    <w:rsid w:val="79E0724C"/>
    <w:rsid w:val="79FE0BD7"/>
    <w:rsid w:val="7A1E2119"/>
    <w:rsid w:val="7A464F75"/>
    <w:rsid w:val="7A6C5F2B"/>
    <w:rsid w:val="7A6D0744"/>
    <w:rsid w:val="7A874B3F"/>
    <w:rsid w:val="7A8F1996"/>
    <w:rsid w:val="7A9F5146"/>
    <w:rsid w:val="7AC21FAD"/>
    <w:rsid w:val="7AE50C86"/>
    <w:rsid w:val="7AEC5577"/>
    <w:rsid w:val="7AEE1D5C"/>
    <w:rsid w:val="7AF343F0"/>
    <w:rsid w:val="7B094768"/>
    <w:rsid w:val="7B0A57DF"/>
    <w:rsid w:val="7B242EE6"/>
    <w:rsid w:val="7B430ADD"/>
    <w:rsid w:val="7B5A25DF"/>
    <w:rsid w:val="7B672C31"/>
    <w:rsid w:val="7B807F89"/>
    <w:rsid w:val="7BA85CFD"/>
    <w:rsid w:val="7BC4324F"/>
    <w:rsid w:val="7BCD1983"/>
    <w:rsid w:val="7C0468BC"/>
    <w:rsid w:val="7C071DBF"/>
    <w:rsid w:val="7C186418"/>
    <w:rsid w:val="7C233B52"/>
    <w:rsid w:val="7C265313"/>
    <w:rsid w:val="7C352D2F"/>
    <w:rsid w:val="7C3849B8"/>
    <w:rsid w:val="7C3B1A66"/>
    <w:rsid w:val="7C4A3521"/>
    <w:rsid w:val="7C8051D6"/>
    <w:rsid w:val="7C9C7945"/>
    <w:rsid w:val="7CA85AB1"/>
    <w:rsid w:val="7CAE1255"/>
    <w:rsid w:val="7CD7746F"/>
    <w:rsid w:val="7CFA0AC9"/>
    <w:rsid w:val="7D056BA5"/>
    <w:rsid w:val="7D081AA7"/>
    <w:rsid w:val="7D145606"/>
    <w:rsid w:val="7D357BC7"/>
    <w:rsid w:val="7D4620C8"/>
    <w:rsid w:val="7D4E4E69"/>
    <w:rsid w:val="7D6B3C19"/>
    <w:rsid w:val="7D7A7359"/>
    <w:rsid w:val="7D7D498E"/>
    <w:rsid w:val="7D8B2DD4"/>
    <w:rsid w:val="7D90077D"/>
    <w:rsid w:val="7D9817C8"/>
    <w:rsid w:val="7D9A39D7"/>
    <w:rsid w:val="7DB46A2B"/>
    <w:rsid w:val="7DBB30FD"/>
    <w:rsid w:val="7DCE6F97"/>
    <w:rsid w:val="7DDF2B7D"/>
    <w:rsid w:val="7DE55D91"/>
    <w:rsid w:val="7E071C30"/>
    <w:rsid w:val="7E123328"/>
    <w:rsid w:val="7E15774F"/>
    <w:rsid w:val="7E2D1F10"/>
    <w:rsid w:val="7E2D23E4"/>
    <w:rsid w:val="7E327F0E"/>
    <w:rsid w:val="7E3A2F25"/>
    <w:rsid w:val="7E4F0F31"/>
    <w:rsid w:val="7E696E4A"/>
    <w:rsid w:val="7E786F03"/>
    <w:rsid w:val="7E801EC1"/>
    <w:rsid w:val="7E8835EA"/>
    <w:rsid w:val="7EA54BB0"/>
    <w:rsid w:val="7EA926F9"/>
    <w:rsid w:val="7EBB6BB3"/>
    <w:rsid w:val="7EC37F8A"/>
    <w:rsid w:val="7EF023E3"/>
    <w:rsid w:val="7EFF4B2A"/>
    <w:rsid w:val="7F283A9C"/>
    <w:rsid w:val="7F4D75B8"/>
    <w:rsid w:val="7F607337"/>
    <w:rsid w:val="7F634860"/>
    <w:rsid w:val="7F6653E4"/>
    <w:rsid w:val="7F8D56B9"/>
    <w:rsid w:val="7F967F89"/>
    <w:rsid w:val="7F9A3B0C"/>
    <w:rsid w:val="7FAA4BC1"/>
    <w:rsid w:val="7FBA5F45"/>
    <w:rsid w:val="7FCF68F2"/>
    <w:rsid w:val="7FFA4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720" w:firstLineChars="200"/>
    </w:pPr>
    <w:rPr>
      <w:rFonts w:ascii="等线" w:hAnsi="等线" w:eastAsia="方正仿宋_GB2312" w:cs="Times New Roman"/>
      <w:kern w:val="2"/>
      <w:sz w:val="32"/>
      <w:szCs w:val="22"/>
      <w:lang w:val="en-US" w:eastAsia="zh-CN" w:bidi="ar-SA"/>
    </w:rPr>
  </w:style>
  <w:style w:type="paragraph" w:styleId="2">
    <w:name w:val="heading 1"/>
    <w:basedOn w:val="1"/>
    <w:next w:val="1"/>
    <w:link w:val="38"/>
    <w:qFormat/>
    <w:uiPriority w:val="9"/>
    <w:pPr>
      <w:keepNext/>
      <w:keepLines/>
      <w:spacing w:before="340" w:after="330" w:line="579" w:lineRule="auto"/>
      <w:ind w:firstLine="0" w:firstLineChars="0"/>
      <w:jc w:val="center"/>
      <w:outlineLvl w:val="0"/>
    </w:pPr>
    <w:rPr>
      <w:rFonts w:eastAsia="方正小标宋_GBK"/>
      <w:bCs/>
      <w:kern w:val="44"/>
      <w:sz w:val="36"/>
      <w:szCs w:val="44"/>
    </w:rPr>
  </w:style>
  <w:style w:type="paragraph" w:styleId="3">
    <w:name w:val="heading 2"/>
    <w:basedOn w:val="1"/>
    <w:next w:val="1"/>
    <w:link w:val="39"/>
    <w:qFormat/>
    <w:uiPriority w:val="9"/>
    <w:pPr>
      <w:keepNext/>
      <w:keepLines/>
      <w:spacing w:before="260" w:after="260" w:line="416" w:lineRule="auto"/>
      <w:ind w:firstLine="0" w:firstLineChars="0"/>
      <w:jc w:val="center"/>
      <w:outlineLvl w:val="1"/>
    </w:pPr>
    <w:rPr>
      <w:rFonts w:ascii="等线 Light" w:hAnsi="等线 Light" w:eastAsia="黑体"/>
      <w:bCs/>
      <w:szCs w:val="32"/>
    </w:rPr>
  </w:style>
  <w:style w:type="paragraph" w:styleId="4">
    <w:name w:val="heading 3"/>
    <w:basedOn w:val="5"/>
    <w:next w:val="1"/>
    <w:link w:val="40"/>
    <w:qFormat/>
    <w:uiPriority w:val="9"/>
    <w:pPr>
      <w:widowControl/>
      <w:numPr>
        <w:ilvl w:val="0"/>
        <w:numId w:val="1"/>
      </w:numPr>
      <w:spacing w:before="156" w:beforeLines="50" w:after="156" w:afterLines="50"/>
      <w:ind w:left="0"/>
      <w:jc w:val="both"/>
      <w:outlineLvl w:val="2"/>
    </w:pPr>
    <w:rPr>
      <w:rFonts w:ascii="楷体" w:hAnsi="楷体" w:eastAsia="楷体"/>
      <w:bCs/>
      <w:szCs w:val="32"/>
      <w:shd w:val="clear" w:color="auto" w:fill="FFFFFF"/>
    </w:rPr>
  </w:style>
  <w:style w:type="paragraph" w:styleId="6">
    <w:name w:val="heading 4"/>
    <w:basedOn w:val="1"/>
    <w:next w:val="1"/>
    <w:link w:val="41"/>
    <w:qFormat/>
    <w:uiPriority w:val="9"/>
    <w:pPr>
      <w:keepNext/>
      <w:keepLines/>
      <w:spacing w:before="280" w:after="290" w:line="376" w:lineRule="auto"/>
      <w:outlineLvl w:val="3"/>
    </w:pPr>
    <w:rPr>
      <w:rFonts w:ascii="等线 Light" w:hAnsi="等线 Light" w:eastAsia="等线 Light"/>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5">
    <w:name w:val="List Paragraph"/>
    <w:basedOn w:val="1"/>
    <w:qFormat/>
    <w:uiPriority w:val="34"/>
    <w:pPr>
      <w:ind w:firstLine="420"/>
    </w:pPr>
  </w:style>
  <w:style w:type="paragraph" w:styleId="7">
    <w:name w:val="toc 7"/>
    <w:basedOn w:val="1"/>
    <w:next w:val="1"/>
    <w:unhideWhenUsed/>
    <w:qFormat/>
    <w:uiPriority w:val="39"/>
    <w:pPr>
      <w:spacing w:line="240" w:lineRule="auto"/>
      <w:ind w:left="2520" w:leftChars="1200" w:firstLine="0" w:firstLineChars="0"/>
      <w:jc w:val="both"/>
    </w:pPr>
    <w:rPr>
      <w:rFonts w:eastAsia="等线"/>
      <w:sz w:val="21"/>
    </w:rPr>
  </w:style>
  <w:style w:type="paragraph" w:styleId="8">
    <w:name w:val="Normal Indent"/>
    <w:basedOn w:val="1"/>
    <w:qFormat/>
    <w:uiPriority w:val="0"/>
    <w:pPr>
      <w:ind w:firstLine="420"/>
      <w:jc w:val="both"/>
    </w:pPr>
    <w:rPr>
      <w:rFonts w:hint="eastAsia" w:eastAsia="等线"/>
      <w:sz w:val="21"/>
      <w:szCs w:val="21"/>
    </w:rPr>
  </w:style>
  <w:style w:type="paragraph" w:styleId="9">
    <w:name w:val="annotation text"/>
    <w:basedOn w:val="1"/>
    <w:link w:val="42"/>
    <w:unhideWhenUsed/>
    <w:qFormat/>
    <w:uiPriority w:val="99"/>
  </w:style>
  <w:style w:type="paragraph" w:styleId="10">
    <w:name w:val="Body Text"/>
    <w:basedOn w:val="1"/>
    <w:next w:val="1"/>
    <w:link w:val="43"/>
    <w:qFormat/>
    <w:uiPriority w:val="1"/>
    <w:pPr>
      <w:spacing w:before="44"/>
      <w:ind w:left="140"/>
    </w:pPr>
    <w:rPr>
      <w:rFonts w:ascii="宋体" w:hAnsi="宋体" w:eastAsia="宋体"/>
      <w:kern w:val="0"/>
      <w:sz w:val="28"/>
      <w:szCs w:val="28"/>
      <w:lang w:eastAsia="en-US"/>
    </w:rPr>
  </w:style>
  <w:style w:type="paragraph" w:styleId="11">
    <w:name w:val="Body Text Indent"/>
    <w:basedOn w:val="1"/>
    <w:next w:val="10"/>
    <w:link w:val="44"/>
    <w:qFormat/>
    <w:uiPriority w:val="0"/>
    <w:pPr>
      <w:ind w:firstLine="257" w:firstLineChars="257"/>
    </w:pPr>
    <w:rPr>
      <w:rFonts w:ascii="宋体" w:hAnsi="宋体"/>
      <w:color w:val="000000"/>
      <w:sz w:val="28"/>
    </w:rPr>
  </w:style>
  <w:style w:type="paragraph" w:styleId="12">
    <w:name w:val="toc 5"/>
    <w:basedOn w:val="1"/>
    <w:next w:val="1"/>
    <w:unhideWhenUsed/>
    <w:qFormat/>
    <w:uiPriority w:val="39"/>
    <w:pPr>
      <w:spacing w:line="240" w:lineRule="auto"/>
      <w:ind w:left="1680" w:leftChars="800" w:firstLine="0" w:firstLineChars="0"/>
      <w:jc w:val="both"/>
    </w:pPr>
    <w:rPr>
      <w:rFonts w:eastAsia="等线"/>
      <w:sz w:val="21"/>
    </w:rPr>
  </w:style>
  <w:style w:type="paragraph" w:styleId="13">
    <w:name w:val="toc 3"/>
    <w:basedOn w:val="1"/>
    <w:next w:val="1"/>
    <w:link w:val="45"/>
    <w:unhideWhenUsed/>
    <w:qFormat/>
    <w:uiPriority w:val="39"/>
    <w:pPr>
      <w:adjustRightInd w:val="0"/>
      <w:ind w:left="640" w:leftChars="200"/>
    </w:pPr>
  </w:style>
  <w:style w:type="paragraph" w:styleId="14">
    <w:name w:val="toc 8"/>
    <w:basedOn w:val="1"/>
    <w:next w:val="1"/>
    <w:unhideWhenUsed/>
    <w:qFormat/>
    <w:uiPriority w:val="39"/>
    <w:pPr>
      <w:spacing w:line="240" w:lineRule="auto"/>
      <w:ind w:left="2940" w:leftChars="1400" w:firstLine="0" w:firstLineChars="0"/>
      <w:jc w:val="both"/>
    </w:pPr>
    <w:rPr>
      <w:rFonts w:eastAsia="等线"/>
      <w:sz w:val="21"/>
    </w:rPr>
  </w:style>
  <w:style w:type="paragraph" w:styleId="15">
    <w:name w:val="Date"/>
    <w:basedOn w:val="1"/>
    <w:next w:val="1"/>
    <w:link w:val="46"/>
    <w:unhideWhenUsed/>
    <w:qFormat/>
    <w:uiPriority w:val="99"/>
    <w:pPr>
      <w:ind w:left="100" w:leftChars="2500"/>
    </w:pPr>
  </w:style>
  <w:style w:type="paragraph" w:styleId="16">
    <w:name w:val="Body Text Indent 2"/>
    <w:basedOn w:val="1"/>
    <w:qFormat/>
    <w:uiPriority w:val="99"/>
    <w:pPr>
      <w:spacing w:after="120" w:line="480" w:lineRule="auto"/>
      <w:ind w:left="420" w:leftChars="200"/>
    </w:pPr>
  </w:style>
  <w:style w:type="paragraph" w:styleId="17">
    <w:name w:val="Balloon Text"/>
    <w:basedOn w:val="1"/>
    <w:link w:val="47"/>
    <w:unhideWhenUsed/>
    <w:qFormat/>
    <w:uiPriority w:val="99"/>
    <w:rPr>
      <w:sz w:val="18"/>
      <w:szCs w:val="18"/>
    </w:rPr>
  </w:style>
  <w:style w:type="paragraph" w:styleId="18">
    <w:name w:val="footer"/>
    <w:basedOn w:val="1"/>
    <w:link w:val="48"/>
    <w:unhideWhenUsed/>
    <w:qFormat/>
    <w:uiPriority w:val="99"/>
    <w:pPr>
      <w:tabs>
        <w:tab w:val="center" w:pos="4153"/>
        <w:tab w:val="right" w:pos="8306"/>
      </w:tabs>
      <w:snapToGrid w:val="0"/>
    </w:pPr>
    <w:rPr>
      <w:sz w:val="18"/>
      <w:szCs w:val="18"/>
    </w:rPr>
  </w:style>
  <w:style w:type="paragraph" w:styleId="19">
    <w:name w:val="header"/>
    <w:basedOn w:val="1"/>
    <w:link w:val="49"/>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link w:val="50"/>
    <w:unhideWhenUsed/>
    <w:qFormat/>
    <w:uiPriority w:val="39"/>
    <w:rPr>
      <w:rFonts w:eastAsia="黑体"/>
    </w:rPr>
  </w:style>
  <w:style w:type="paragraph" w:styleId="21">
    <w:name w:val="toc 4"/>
    <w:basedOn w:val="1"/>
    <w:next w:val="1"/>
    <w:unhideWhenUsed/>
    <w:qFormat/>
    <w:uiPriority w:val="39"/>
    <w:pPr>
      <w:spacing w:line="240" w:lineRule="auto"/>
      <w:ind w:left="1260" w:leftChars="600" w:firstLine="0" w:firstLineChars="0"/>
      <w:jc w:val="both"/>
    </w:pPr>
    <w:rPr>
      <w:rFonts w:eastAsia="等线"/>
      <w:sz w:val="21"/>
    </w:rPr>
  </w:style>
  <w:style w:type="paragraph" w:styleId="22">
    <w:name w:val="Subtitle"/>
    <w:basedOn w:val="1"/>
    <w:next w:val="1"/>
    <w:link w:val="51"/>
    <w:qFormat/>
    <w:uiPriority w:val="11"/>
    <w:pPr>
      <w:spacing w:line="0" w:lineRule="atLeast"/>
      <w:jc w:val="center"/>
    </w:pPr>
    <w:rPr>
      <w:sz w:val="18"/>
      <w:szCs w:val="18"/>
    </w:rPr>
  </w:style>
  <w:style w:type="paragraph" w:styleId="23">
    <w:name w:val="toc 6"/>
    <w:basedOn w:val="1"/>
    <w:next w:val="1"/>
    <w:unhideWhenUsed/>
    <w:qFormat/>
    <w:uiPriority w:val="39"/>
    <w:pPr>
      <w:spacing w:line="240" w:lineRule="auto"/>
      <w:ind w:left="2100" w:leftChars="1000" w:firstLine="0" w:firstLineChars="0"/>
      <w:jc w:val="both"/>
    </w:pPr>
    <w:rPr>
      <w:rFonts w:eastAsia="等线"/>
      <w:sz w:val="21"/>
    </w:rPr>
  </w:style>
  <w:style w:type="paragraph" w:styleId="24">
    <w:name w:val="toc 2"/>
    <w:basedOn w:val="1"/>
    <w:next w:val="1"/>
    <w:unhideWhenUsed/>
    <w:qFormat/>
    <w:uiPriority w:val="39"/>
    <w:pPr>
      <w:adjustRightInd w:val="0"/>
    </w:pPr>
  </w:style>
  <w:style w:type="paragraph" w:styleId="25">
    <w:name w:val="toc 9"/>
    <w:basedOn w:val="1"/>
    <w:next w:val="1"/>
    <w:unhideWhenUsed/>
    <w:qFormat/>
    <w:uiPriority w:val="39"/>
    <w:pPr>
      <w:spacing w:line="240" w:lineRule="auto"/>
      <w:ind w:left="3360" w:leftChars="1600" w:firstLine="0" w:firstLineChars="0"/>
      <w:jc w:val="both"/>
    </w:pPr>
    <w:rPr>
      <w:rFonts w:eastAsia="等线"/>
      <w:sz w:val="21"/>
    </w:rPr>
  </w:style>
  <w:style w:type="paragraph" w:styleId="26">
    <w:name w:val="Normal (Web)"/>
    <w:basedOn w:val="1"/>
    <w:unhideWhenUsed/>
    <w:qFormat/>
    <w:uiPriority w:val="99"/>
    <w:pPr>
      <w:widowControl/>
      <w:spacing w:before="100" w:beforeAutospacing="1" w:after="100" w:afterAutospacing="1"/>
    </w:pPr>
    <w:rPr>
      <w:rFonts w:ascii="宋体" w:hAnsi="宋体" w:eastAsia="宋体" w:cs="宋体"/>
      <w:kern w:val="0"/>
      <w:sz w:val="24"/>
      <w:szCs w:val="24"/>
    </w:rPr>
  </w:style>
  <w:style w:type="paragraph" w:styleId="27">
    <w:name w:val="annotation subject"/>
    <w:basedOn w:val="9"/>
    <w:next w:val="9"/>
    <w:link w:val="52"/>
    <w:unhideWhenUsed/>
    <w:qFormat/>
    <w:uiPriority w:val="99"/>
    <w:rPr>
      <w:b/>
      <w:bCs/>
    </w:rPr>
  </w:style>
  <w:style w:type="paragraph" w:styleId="28">
    <w:name w:val="Body Text First Indent"/>
    <w:basedOn w:val="10"/>
    <w:next w:val="1"/>
    <w:link w:val="53"/>
    <w:qFormat/>
    <w:uiPriority w:val="0"/>
    <w:pPr>
      <w:ind w:firstLine="420" w:firstLineChars="100"/>
    </w:pPr>
    <w:rPr>
      <w:rFonts w:ascii="Calibri" w:hAnsi="Calibri"/>
      <w:sz w:val="24"/>
      <w:szCs w:val="24"/>
    </w:rPr>
  </w:style>
  <w:style w:type="paragraph" w:styleId="29">
    <w:name w:val="Body Text First Indent 2"/>
    <w:basedOn w:val="11"/>
    <w:next w:val="1"/>
    <w:qFormat/>
    <w:uiPriority w:val="0"/>
    <w:pPr>
      <w:ind w:left="200" w:firstLine="420" w:firstLineChars="200"/>
    </w:pPr>
    <w:rPr>
      <w:sz w:val="24"/>
      <w:szCs w:val="24"/>
    </w:rPr>
  </w:style>
  <w:style w:type="table" w:styleId="31">
    <w:name w:val="Table Grid"/>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22"/>
    <w:rPr>
      <w:b/>
    </w:rPr>
  </w:style>
  <w:style w:type="character" w:styleId="34">
    <w:name w:val="FollowedHyperlink"/>
    <w:unhideWhenUsed/>
    <w:qFormat/>
    <w:uiPriority w:val="99"/>
    <w:rPr>
      <w:color w:val="800080"/>
      <w:u w:val="single"/>
    </w:rPr>
  </w:style>
  <w:style w:type="character" w:styleId="35">
    <w:name w:val="Emphasis"/>
    <w:qFormat/>
    <w:uiPriority w:val="20"/>
    <w:rPr>
      <w:i/>
    </w:rPr>
  </w:style>
  <w:style w:type="character" w:styleId="36">
    <w:name w:val="Hyperlink"/>
    <w:unhideWhenUsed/>
    <w:qFormat/>
    <w:uiPriority w:val="99"/>
    <w:rPr>
      <w:color w:val="0000FF"/>
      <w:u w:val="single"/>
    </w:rPr>
  </w:style>
  <w:style w:type="character" w:styleId="37">
    <w:name w:val="annotation reference"/>
    <w:unhideWhenUsed/>
    <w:qFormat/>
    <w:uiPriority w:val="99"/>
    <w:rPr>
      <w:sz w:val="21"/>
      <w:szCs w:val="21"/>
    </w:rPr>
  </w:style>
  <w:style w:type="character" w:customStyle="1" w:styleId="38">
    <w:name w:val="标题 1 字符"/>
    <w:link w:val="2"/>
    <w:qFormat/>
    <w:uiPriority w:val="9"/>
    <w:rPr>
      <w:rFonts w:ascii="等线" w:hAnsi="等线" w:eastAsia="方正小标宋_GBK"/>
      <w:bCs/>
      <w:kern w:val="44"/>
      <w:sz w:val="36"/>
      <w:szCs w:val="44"/>
    </w:rPr>
  </w:style>
  <w:style w:type="character" w:customStyle="1" w:styleId="39">
    <w:name w:val="标题 2 字符"/>
    <w:link w:val="3"/>
    <w:qFormat/>
    <w:uiPriority w:val="9"/>
    <w:rPr>
      <w:rFonts w:ascii="等线 Light" w:hAnsi="等线 Light" w:eastAsia="黑体" w:cs="Times New Roman"/>
      <w:bCs/>
      <w:sz w:val="32"/>
      <w:szCs w:val="32"/>
    </w:rPr>
  </w:style>
  <w:style w:type="character" w:customStyle="1" w:styleId="40">
    <w:name w:val="标题 3 字符"/>
    <w:link w:val="4"/>
    <w:qFormat/>
    <w:uiPriority w:val="9"/>
    <w:rPr>
      <w:rFonts w:ascii="楷体" w:hAnsi="楷体" w:eastAsia="楷体" w:cs="Times New Roman"/>
      <w:bCs/>
      <w:kern w:val="2"/>
      <w:sz w:val="32"/>
      <w:szCs w:val="32"/>
    </w:rPr>
  </w:style>
  <w:style w:type="character" w:customStyle="1" w:styleId="41">
    <w:name w:val="标题 4 字符"/>
    <w:link w:val="6"/>
    <w:qFormat/>
    <w:uiPriority w:val="9"/>
    <w:rPr>
      <w:rFonts w:ascii="等线 Light" w:hAnsi="等线 Light" w:eastAsia="等线 Light" w:cs="Times New Roman"/>
      <w:b/>
      <w:bCs/>
      <w:sz w:val="28"/>
      <w:szCs w:val="28"/>
    </w:rPr>
  </w:style>
  <w:style w:type="character" w:customStyle="1" w:styleId="42">
    <w:name w:val="批注文字 字符"/>
    <w:link w:val="9"/>
    <w:semiHidden/>
    <w:qFormat/>
    <w:uiPriority w:val="99"/>
  </w:style>
  <w:style w:type="character" w:customStyle="1" w:styleId="43">
    <w:name w:val="正文文本 字符"/>
    <w:link w:val="10"/>
    <w:qFormat/>
    <w:uiPriority w:val="99"/>
    <w:rPr>
      <w:rFonts w:ascii="宋体" w:hAnsi="宋体" w:cs="Times New Roman"/>
      <w:sz w:val="28"/>
      <w:szCs w:val="28"/>
      <w:lang w:eastAsia="en-US"/>
    </w:rPr>
  </w:style>
  <w:style w:type="character" w:customStyle="1" w:styleId="44">
    <w:name w:val="正文文本缩进 字符"/>
    <w:link w:val="11"/>
    <w:qFormat/>
    <w:uiPriority w:val="0"/>
    <w:rPr>
      <w:rFonts w:ascii="宋体" w:hAnsi="宋体"/>
      <w:color w:val="000000"/>
      <w:sz w:val="28"/>
    </w:rPr>
  </w:style>
  <w:style w:type="character" w:customStyle="1" w:styleId="45">
    <w:name w:val="目录 3 字符"/>
    <w:link w:val="13"/>
    <w:qFormat/>
    <w:uiPriority w:val="39"/>
  </w:style>
  <w:style w:type="character" w:customStyle="1" w:styleId="46">
    <w:name w:val="日期 字符"/>
    <w:link w:val="15"/>
    <w:semiHidden/>
    <w:qFormat/>
    <w:uiPriority w:val="99"/>
  </w:style>
  <w:style w:type="character" w:customStyle="1" w:styleId="47">
    <w:name w:val="批注框文本 字符"/>
    <w:link w:val="17"/>
    <w:semiHidden/>
    <w:qFormat/>
    <w:uiPriority w:val="99"/>
    <w:rPr>
      <w:rFonts w:ascii="等线" w:hAnsi="等线" w:eastAsia="等线" w:cs="Times New Roman"/>
      <w:kern w:val="2"/>
      <w:sz w:val="18"/>
      <w:szCs w:val="18"/>
    </w:rPr>
  </w:style>
  <w:style w:type="character" w:customStyle="1" w:styleId="48">
    <w:name w:val="页脚 字符"/>
    <w:link w:val="18"/>
    <w:qFormat/>
    <w:uiPriority w:val="99"/>
    <w:rPr>
      <w:sz w:val="18"/>
      <w:szCs w:val="18"/>
    </w:rPr>
  </w:style>
  <w:style w:type="character" w:customStyle="1" w:styleId="49">
    <w:name w:val="页眉 字符"/>
    <w:link w:val="19"/>
    <w:qFormat/>
    <w:uiPriority w:val="99"/>
    <w:rPr>
      <w:sz w:val="18"/>
      <w:szCs w:val="18"/>
    </w:rPr>
  </w:style>
  <w:style w:type="character" w:customStyle="1" w:styleId="50">
    <w:name w:val="目录 1 字符"/>
    <w:link w:val="20"/>
    <w:qFormat/>
    <w:uiPriority w:val="39"/>
    <w:rPr>
      <w:rFonts w:eastAsia="黑体"/>
    </w:rPr>
  </w:style>
  <w:style w:type="character" w:customStyle="1" w:styleId="51">
    <w:name w:val="副标题 字符"/>
    <w:link w:val="22"/>
    <w:qFormat/>
    <w:uiPriority w:val="11"/>
    <w:rPr>
      <w:sz w:val="18"/>
      <w:szCs w:val="18"/>
    </w:rPr>
  </w:style>
  <w:style w:type="character" w:customStyle="1" w:styleId="52">
    <w:name w:val="批注主题 字符"/>
    <w:link w:val="27"/>
    <w:semiHidden/>
    <w:qFormat/>
    <w:uiPriority w:val="99"/>
    <w:rPr>
      <w:b/>
      <w:bCs/>
    </w:rPr>
  </w:style>
  <w:style w:type="character" w:customStyle="1" w:styleId="53">
    <w:name w:val="正文首行缩进 字符"/>
    <w:link w:val="28"/>
    <w:qFormat/>
    <w:uiPriority w:val="99"/>
    <w:rPr>
      <w:rFonts w:ascii="Calibri" w:hAnsi="Calibri" w:cs="Times New Roman"/>
      <w:sz w:val="24"/>
      <w:szCs w:val="24"/>
      <w:lang w:eastAsia="en-US"/>
    </w:rPr>
  </w:style>
  <w:style w:type="character" w:customStyle="1" w:styleId="54">
    <w:name w:val="技术小标题 Char"/>
    <w:link w:val="55"/>
    <w:qFormat/>
    <w:locked/>
    <w:uiPriority w:val="0"/>
    <w:rPr>
      <w:rFonts w:ascii="宋体" w:hAnsi="Courier New" w:eastAsia="仿宋"/>
      <w:b/>
      <w:sz w:val="24"/>
      <w:szCs w:val="24"/>
    </w:rPr>
  </w:style>
  <w:style w:type="paragraph" w:customStyle="1" w:styleId="55">
    <w:name w:val="技术小标题"/>
    <w:basedOn w:val="1"/>
    <w:link w:val="54"/>
    <w:qFormat/>
    <w:uiPriority w:val="0"/>
    <w:pPr>
      <w:wordWrap w:val="0"/>
      <w:adjustRightInd w:val="0"/>
      <w:snapToGrid w:val="0"/>
      <w:spacing w:line="520" w:lineRule="exact"/>
      <w:ind w:firstLine="482"/>
    </w:pPr>
    <w:rPr>
      <w:rFonts w:ascii="宋体" w:hAnsi="Courier New" w:eastAsia="仿宋"/>
      <w:b/>
      <w:sz w:val="24"/>
      <w:szCs w:val="24"/>
    </w:rPr>
  </w:style>
  <w:style w:type="paragraph" w:customStyle="1" w:styleId="56">
    <w:name w:val="表格内容"/>
    <w:basedOn w:val="1"/>
    <w:qFormat/>
    <w:uiPriority w:val="0"/>
    <w:rPr>
      <w:rFonts w:ascii="Times New Roman" w:hAnsi="Times New Roman" w:eastAsia="宋体"/>
      <w:color w:val="7030A0"/>
      <w:sz w:val="24"/>
      <w:szCs w:val="21"/>
    </w:rPr>
  </w:style>
  <w:style w:type="paragraph" w:customStyle="1" w:styleId="57">
    <w:name w:val="WPSOffice手动目录 1"/>
    <w:qFormat/>
    <w:uiPriority w:val="0"/>
    <w:rPr>
      <w:rFonts w:ascii="等线" w:hAnsi="等线" w:eastAsia="等线" w:cs="Times New Roman"/>
      <w:lang w:val="en-US" w:eastAsia="zh-CN" w:bidi="ar-SA"/>
    </w:rPr>
  </w:style>
  <w:style w:type="paragraph" w:customStyle="1" w:styleId="58">
    <w:name w:val="WPSOffice手动目录 3"/>
    <w:qFormat/>
    <w:uiPriority w:val="0"/>
    <w:pPr>
      <w:ind w:left="400" w:leftChars="400"/>
    </w:pPr>
    <w:rPr>
      <w:rFonts w:ascii="等线" w:hAnsi="等线" w:eastAsia="等线" w:cs="Times New Roman"/>
      <w:lang w:val="en-US" w:eastAsia="zh-CN" w:bidi="ar-SA"/>
    </w:rPr>
  </w:style>
  <w:style w:type="paragraph" w:customStyle="1" w:styleId="59">
    <w:name w:val="WPSOffice手动目录 2"/>
    <w:qFormat/>
    <w:uiPriority w:val="0"/>
    <w:pPr>
      <w:ind w:left="200" w:leftChars="200"/>
    </w:pPr>
    <w:rPr>
      <w:rFonts w:ascii="等线" w:hAnsi="等线" w:eastAsia="等线" w:cs="Times New Roman"/>
      <w:lang w:val="en-US" w:eastAsia="zh-CN" w:bidi="ar-SA"/>
    </w:rPr>
  </w:style>
  <w:style w:type="paragraph" w:customStyle="1" w:styleId="60">
    <w:name w:val="Default"/>
    <w:unhideWhenUsed/>
    <w:qFormat/>
    <w:uiPriority w:val="99"/>
    <w:pPr>
      <w:widowControl w:val="0"/>
      <w:autoSpaceDE w:val="0"/>
      <w:autoSpaceDN w:val="0"/>
      <w:adjustRightInd w:val="0"/>
    </w:pPr>
    <w:rPr>
      <w:rFonts w:ascii="宋体" w:hAnsi="宋体" w:eastAsia="宋体" w:cs="Times New Roman"/>
      <w:color w:val="000000"/>
      <w:sz w:val="24"/>
      <w:lang w:val="en-US" w:eastAsia="zh-CN" w:bidi="ar-SA"/>
    </w:rPr>
  </w:style>
  <w:style w:type="paragraph" w:customStyle="1" w:styleId="61">
    <w:name w:val="表格标黑粗"/>
    <w:basedOn w:val="62"/>
    <w:qFormat/>
    <w:uiPriority w:val="0"/>
    <w:rPr>
      <w:b/>
    </w:rPr>
  </w:style>
  <w:style w:type="paragraph" w:customStyle="1" w:styleId="62">
    <w:name w:val="样式表格"/>
    <w:basedOn w:val="22"/>
    <w:qFormat/>
    <w:uiPriority w:val="0"/>
  </w:style>
  <w:style w:type="character" w:customStyle="1" w:styleId="63">
    <w:name w:val="不明显强调1"/>
    <w:qFormat/>
    <w:uiPriority w:val="19"/>
    <w:rPr>
      <w:sz w:val="24"/>
      <w:szCs w:val="24"/>
    </w:rPr>
  </w:style>
  <w:style w:type="character" w:customStyle="1" w:styleId="64">
    <w:name w:val="font01"/>
    <w:qFormat/>
    <w:uiPriority w:val="0"/>
    <w:rPr>
      <w:rFonts w:ascii="仿宋_GB2312" w:eastAsia="仿宋_GB2312" w:cs="仿宋_GB2312"/>
      <w:color w:val="000000"/>
      <w:sz w:val="24"/>
      <w:szCs w:val="24"/>
      <w:u w:val="none"/>
    </w:rPr>
  </w:style>
  <w:style w:type="paragraph" w:customStyle="1" w:styleId="65">
    <w:name w:val="天城正文强调1"/>
    <w:next w:val="1"/>
    <w:qFormat/>
    <w:uiPriority w:val="0"/>
    <w:pPr>
      <w:numPr>
        <w:ilvl w:val="0"/>
        <w:numId w:val="2"/>
      </w:numPr>
      <w:overflowPunct w:val="0"/>
      <w:spacing w:line="520" w:lineRule="exact"/>
    </w:pPr>
    <w:rPr>
      <w:rFonts w:ascii="Times New Roman" w:hAnsi="Times New Roman" w:eastAsia="仿宋" w:cs="仿宋"/>
      <w:b/>
      <w:color w:val="000000"/>
      <w:kern w:val="2"/>
      <w:sz w:val="28"/>
      <w:szCs w:val="28"/>
      <w:lang w:val="en-US" w:eastAsia="zh-CN" w:bidi="ar-SA"/>
    </w:rPr>
  </w:style>
  <w:style w:type="character" w:customStyle="1" w:styleId="66">
    <w:name w:val="font21"/>
    <w:qFormat/>
    <w:uiPriority w:val="0"/>
    <w:rPr>
      <w:rFonts w:hint="eastAsia" w:ascii="仿宋" w:hAnsi="仿宋" w:eastAsia="仿宋" w:cs="仿宋"/>
      <w:color w:val="000000"/>
      <w:sz w:val="24"/>
      <w:szCs w:val="24"/>
      <w:u w:val="none"/>
    </w:rPr>
  </w:style>
  <w:style w:type="character" w:customStyle="1" w:styleId="67">
    <w:name w:val="font31"/>
    <w:qFormat/>
    <w:uiPriority w:val="0"/>
    <w:rPr>
      <w:rFonts w:hint="eastAsia" w:ascii="宋体" w:hAnsi="宋体" w:eastAsia="宋体" w:cs="宋体"/>
      <w:color w:val="000000"/>
      <w:sz w:val="24"/>
      <w:szCs w:val="24"/>
      <w:u w:val="none"/>
    </w:rPr>
  </w:style>
  <w:style w:type="character" w:customStyle="1" w:styleId="68">
    <w:name w:val="font11"/>
    <w:qFormat/>
    <w:uiPriority w:val="0"/>
    <w:rPr>
      <w:rFonts w:ascii="微软雅黑" w:hAnsi="微软雅黑" w:eastAsia="微软雅黑" w:cs="微软雅黑"/>
      <w:b/>
      <w:bCs/>
      <w:color w:val="000000"/>
      <w:sz w:val="18"/>
      <w:szCs w:val="18"/>
      <w:u w:val="none"/>
    </w:rPr>
  </w:style>
  <w:style w:type="paragraph" w:customStyle="1" w:styleId="69">
    <w:name w:val="正文标书"/>
    <w:basedOn w:val="1"/>
    <w:qFormat/>
    <w:uiPriority w:val="0"/>
    <w:pPr>
      <w:wordWrap w:val="0"/>
      <w:adjustRightInd w:val="0"/>
      <w:snapToGrid w:val="0"/>
      <w:spacing w:line="520" w:lineRule="exact"/>
      <w:ind w:firstLine="200"/>
    </w:pPr>
    <w:rPr>
      <w:rFonts w:ascii="仿宋" w:hAnsi="仿宋"/>
      <w:sz w:val="24"/>
      <w:szCs w:val="24"/>
    </w:rPr>
  </w:style>
  <w:style w:type="paragraph" w:customStyle="1" w:styleId="70">
    <w:name w:val="表格标题"/>
    <w:basedOn w:val="1"/>
    <w:link w:val="71"/>
    <w:qFormat/>
    <w:uiPriority w:val="0"/>
    <w:pPr>
      <w:spacing w:line="360" w:lineRule="auto"/>
      <w:jc w:val="center"/>
    </w:pPr>
    <w:rPr>
      <w:rFonts w:hint="eastAsia" w:ascii="黑体" w:hAnsi="黑体" w:eastAsia="黑体" w:cs="黑体"/>
      <w:color w:val="000000"/>
      <w:sz w:val="30"/>
      <w:szCs w:val="30"/>
    </w:rPr>
  </w:style>
  <w:style w:type="character" w:customStyle="1" w:styleId="71">
    <w:name w:val="表格标题 Char"/>
    <w:link w:val="70"/>
    <w:qFormat/>
    <w:uiPriority w:val="0"/>
    <w:rPr>
      <w:rFonts w:hint="eastAsia" w:ascii="黑体" w:hAnsi="黑体" w:eastAsia="黑体" w:cs="黑体"/>
      <w:color w:val="000000"/>
      <w:sz w:val="30"/>
      <w:szCs w:val="30"/>
      <w:u w:val="none"/>
    </w:rPr>
  </w:style>
  <w:style w:type="paragraph" w:customStyle="1" w:styleId="72">
    <w:name w:val="表格正文"/>
    <w:basedOn w:val="1"/>
    <w:qFormat/>
    <w:uiPriority w:val="0"/>
    <w:pPr>
      <w:spacing w:line="500" w:lineRule="exact"/>
      <w:ind w:firstLine="0" w:firstLineChars="0"/>
      <w:jc w:val="center"/>
    </w:pPr>
    <w:rPr>
      <w:rFonts w:hint="eastAsia" w:ascii="黑体" w:hAnsi="黑体" w:cs="黑体"/>
      <w:color w:val="000000"/>
      <w:sz w:val="21"/>
      <w:szCs w:val="30"/>
    </w:rPr>
  </w:style>
  <w:style w:type="character" w:customStyle="1" w:styleId="73">
    <w:name w:val="列出段落 Char"/>
    <w:link w:val="74"/>
    <w:qFormat/>
    <w:uiPriority w:val="0"/>
    <w:rPr>
      <w:sz w:val="28"/>
      <w:szCs w:val="24"/>
    </w:rPr>
  </w:style>
  <w:style w:type="paragraph" w:customStyle="1" w:styleId="74">
    <w:name w:val="列出段落1"/>
    <w:basedOn w:val="1"/>
    <w:link w:val="73"/>
    <w:qFormat/>
    <w:uiPriority w:val="0"/>
    <w:pPr>
      <w:spacing w:line="240" w:lineRule="auto"/>
      <w:ind w:firstLine="200"/>
      <w:jc w:val="both"/>
    </w:pPr>
    <w:rPr>
      <w:rFonts w:ascii="Times New Roman" w:hAnsi="Times New Roman" w:eastAsia="宋体"/>
      <w:kern w:val="0"/>
      <w:sz w:val="28"/>
      <w:szCs w:val="24"/>
    </w:rPr>
  </w:style>
  <w:style w:type="paragraph" w:customStyle="1" w:styleId="75">
    <w:name w:val="msonormal"/>
    <w:basedOn w:val="1"/>
    <w:qFormat/>
    <w:uiPriority w:val="0"/>
    <w:pPr>
      <w:widowControl/>
      <w:spacing w:before="100" w:beforeAutospacing="1" w:after="100" w:afterAutospacing="1" w:line="240" w:lineRule="auto"/>
      <w:ind w:firstLine="0" w:firstLineChars="0"/>
    </w:pPr>
    <w:rPr>
      <w:rFonts w:ascii="宋体" w:hAnsi="宋体" w:eastAsia="宋体" w:cs="宋体"/>
      <w:kern w:val="0"/>
      <w:sz w:val="24"/>
      <w:szCs w:val="24"/>
    </w:rPr>
  </w:style>
  <w:style w:type="paragraph" w:customStyle="1" w:styleId="76">
    <w:name w:val="font5"/>
    <w:basedOn w:val="1"/>
    <w:qFormat/>
    <w:uiPriority w:val="0"/>
    <w:pPr>
      <w:widowControl/>
      <w:spacing w:before="100" w:beforeAutospacing="1" w:after="100" w:afterAutospacing="1" w:line="240" w:lineRule="auto"/>
      <w:ind w:firstLine="0" w:firstLineChars="0"/>
    </w:pPr>
    <w:rPr>
      <w:rFonts w:ascii="宋体" w:hAnsi="宋体" w:eastAsia="宋体" w:cs="宋体"/>
      <w:color w:val="000000"/>
      <w:kern w:val="0"/>
      <w:sz w:val="18"/>
      <w:szCs w:val="18"/>
    </w:rPr>
  </w:style>
  <w:style w:type="paragraph" w:customStyle="1" w:styleId="77">
    <w:name w:val="font6"/>
    <w:basedOn w:val="1"/>
    <w:qFormat/>
    <w:uiPriority w:val="0"/>
    <w:pPr>
      <w:widowControl/>
      <w:spacing w:before="100" w:beforeAutospacing="1" w:after="100" w:afterAutospacing="1" w:line="240" w:lineRule="auto"/>
      <w:ind w:firstLine="0" w:firstLineChars="0"/>
    </w:pPr>
    <w:rPr>
      <w:rFonts w:ascii="宋体" w:hAnsi="宋体" w:eastAsia="宋体" w:cs="宋体"/>
      <w:kern w:val="0"/>
      <w:sz w:val="18"/>
      <w:szCs w:val="18"/>
    </w:rPr>
  </w:style>
  <w:style w:type="paragraph" w:customStyle="1" w:styleId="78">
    <w:name w:val="font7"/>
    <w:basedOn w:val="1"/>
    <w:qFormat/>
    <w:uiPriority w:val="0"/>
    <w:pPr>
      <w:widowControl/>
      <w:spacing w:before="100" w:beforeAutospacing="1" w:after="100" w:afterAutospacing="1" w:line="240" w:lineRule="auto"/>
      <w:ind w:firstLine="0" w:firstLineChars="0"/>
    </w:pPr>
    <w:rPr>
      <w:rFonts w:ascii="宋体" w:hAnsi="宋体" w:eastAsia="宋体" w:cs="宋体"/>
      <w:b/>
      <w:bCs/>
      <w:color w:val="000000"/>
      <w:kern w:val="0"/>
      <w:sz w:val="18"/>
      <w:szCs w:val="18"/>
    </w:rPr>
  </w:style>
  <w:style w:type="paragraph" w:customStyle="1" w:styleId="79">
    <w:name w:val="font8"/>
    <w:basedOn w:val="1"/>
    <w:qFormat/>
    <w:uiPriority w:val="0"/>
    <w:pPr>
      <w:widowControl/>
      <w:spacing w:before="100" w:beforeAutospacing="1" w:after="100" w:afterAutospacing="1" w:line="240" w:lineRule="auto"/>
      <w:ind w:firstLine="0" w:firstLineChars="0"/>
    </w:pPr>
    <w:rPr>
      <w:rFonts w:ascii="宋体" w:hAnsi="宋体" w:eastAsia="宋体" w:cs="宋体"/>
      <w:kern w:val="0"/>
      <w:sz w:val="18"/>
      <w:szCs w:val="18"/>
    </w:rPr>
  </w:style>
  <w:style w:type="paragraph" w:customStyle="1" w:styleId="80">
    <w:name w:val="xl63"/>
    <w:basedOn w:val="1"/>
    <w:qFormat/>
    <w:uiPriority w:val="0"/>
    <w:pPr>
      <w:widowControl/>
      <w:pBdr>
        <w:bottom w:val="single" w:color="000000" w:sz="8" w:space="0"/>
        <w:right w:val="single" w:color="000000" w:sz="8" w:space="0"/>
      </w:pBdr>
      <w:spacing w:before="100" w:beforeAutospacing="1" w:after="100" w:afterAutospacing="1" w:line="240" w:lineRule="auto"/>
      <w:ind w:firstLine="0" w:firstLineChars="0"/>
      <w:jc w:val="center"/>
    </w:pPr>
    <w:rPr>
      <w:rFonts w:ascii="宋体" w:hAnsi="宋体" w:eastAsia="宋体" w:cs="宋体"/>
      <w:color w:val="000000"/>
      <w:kern w:val="0"/>
      <w:sz w:val="18"/>
      <w:szCs w:val="18"/>
    </w:rPr>
  </w:style>
  <w:style w:type="paragraph" w:customStyle="1" w:styleId="81">
    <w:name w:val="xl64"/>
    <w:basedOn w:val="1"/>
    <w:qFormat/>
    <w:uiPriority w:val="0"/>
    <w:pPr>
      <w:widowControl/>
      <w:pBdr>
        <w:top w:val="single" w:color="000000" w:sz="8" w:space="0"/>
        <w:left w:val="single" w:color="000000" w:sz="8" w:space="0"/>
        <w:bottom w:val="single" w:color="000000" w:sz="8" w:space="0"/>
        <w:right w:val="single" w:color="000000" w:sz="8" w:space="0"/>
      </w:pBdr>
      <w:spacing w:before="100" w:beforeAutospacing="1" w:after="100" w:afterAutospacing="1" w:line="240" w:lineRule="auto"/>
      <w:ind w:firstLine="0" w:firstLineChars="0"/>
      <w:jc w:val="center"/>
    </w:pPr>
    <w:rPr>
      <w:rFonts w:ascii="宋体" w:hAnsi="宋体" w:eastAsia="宋体" w:cs="宋体"/>
      <w:b/>
      <w:bCs/>
      <w:color w:val="000000"/>
      <w:kern w:val="0"/>
      <w:sz w:val="18"/>
      <w:szCs w:val="18"/>
    </w:rPr>
  </w:style>
  <w:style w:type="paragraph" w:customStyle="1" w:styleId="82">
    <w:name w:val="xl65"/>
    <w:basedOn w:val="1"/>
    <w:qFormat/>
    <w:uiPriority w:val="0"/>
    <w:pPr>
      <w:widowControl/>
      <w:pBdr>
        <w:top w:val="single" w:color="000000" w:sz="8" w:space="0"/>
        <w:bottom w:val="single" w:color="000000" w:sz="8" w:space="0"/>
        <w:right w:val="single" w:color="000000" w:sz="8" w:space="0"/>
      </w:pBdr>
      <w:spacing w:before="100" w:beforeAutospacing="1" w:after="100" w:afterAutospacing="1" w:line="240" w:lineRule="auto"/>
      <w:ind w:firstLine="0" w:firstLineChars="0"/>
      <w:jc w:val="center"/>
    </w:pPr>
    <w:rPr>
      <w:rFonts w:ascii="宋体" w:hAnsi="宋体" w:eastAsia="宋体" w:cs="宋体"/>
      <w:b/>
      <w:bCs/>
      <w:color w:val="000000"/>
      <w:kern w:val="0"/>
      <w:sz w:val="18"/>
      <w:szCs w:val="18"/>
    </w:rPr>
  </w:style>
  <w:style w:type="paragraph" w:customStyle="1" w:styleId="83">
    <w:name w:val="xl66"/>
    <w:basedOn w:val="1"/>
    <w:qFormat/>
    <w:uiPriority w:val="0"/>
    <w:pPr>
      <w:widowControl/>
      <w:pBdr>
        <w:left w:val="single" w:color="000000" w:sz="8" w:space="0"/>
        <w:bottom w:val="single" w:color="000000" w:sz="8" w:space="0"/>
        <w:right w:val="single" w:color="000000" w:sz="8" w:space="0"/>
      </w:pBdr>
      <w:spacing w:before="100" w:beforeAutospacing="1" w:after="100" w:afterAutospacing="1" w:line="240" w:lineRule="auto"/>
      <w:ind w:firstLine="0" w:firstLineChars="0"/>
      <w:jc w:val="center"/>
    </w:pPr>
    <w:rPr>
      <w:rFonts w:ascii="宋体" w:hAnsi="宋体" w:eastAsia="宋体" w:cs="宋体"/>
      <w:color w:val="000000"/>
      <w:kern w:val="0"/>
      <w:sz w:val="18"/>
      <w:szCs w:val="18"/>
    </w:rPr>
  </w:style>
  <w:style w:type="paragraph" w:customStyle="1" w:styleId="84">
    <w:name w:val="xl67"/>
    <w:basedOn w:val="1"/>
    <w:qFormat/>
    <w:uiPriority w:val="0"/>
    <w:pPr>
      <w:widowControl/>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85">
    <w:name w:val="xl68"/>
    <w:basedOn w:val="1"/>
    <w:qFormat/>
    <w:uiPriority w:val="0"/>
    <w:pPr>
      <w:widowControl/>
      <w:pBdr>
        <w:top w:val="single" w:color="000000" w:sz="8" w:space="0"/>
        <w:bottom w:val="single" w:color="000000" w:sz="8" w:space="0"/>
        <w:right w:val="single" w:color="000000" w:sz="8" w:space="0"/>
      </w:pBdr>
      <w:spacing w:before="100" w:beforeAutospacing="1" w:after="100" w:afterAutospacing="1" w:line="240" w:lineRule="auto"/>
      <w:ind w:firstLine="0" w:firstLineChars="0"/>
      <w:jc w:val="center"/>
    </w:pPr>
    <w:rPr>
      <w:rFonts w:ascii="宋体" w:hAnsi="宋体" w:eastAsia="宋体" w:cs="宋体"/>
      <w:b/>
      <w:bCs/>
      <w:color w:val="000000"/>
      <w:kern w:val="0"/>
      <w:sz w:val="18"/>
      <w:szCs w:val="18"/>
    </w:rPr>
  </w:style>
  <w:style w:type="paragraph" w:customStyle="1" w:styleId="86">
    <w:name w:val="xl69"/>
    <w:basedOn w:val="1"/>
    <w:qFormat/>
    <w:uiPriority w:val="0"/>
    <w:pPr>
      <w:widowControl/>
      <w:pBdr>
        <w:left w:val="single" w:color="000000" w:sz="8" w:space="0"/>
        <w:bottom w:val="single" w:color="000000" w:sz="8" w:space="0"/>
        <w:right w:val="single" w:color="000000" w:sz="8" w:space="0"/>
      </w:pBdr>
      <w:shd w:val="clear" w:color="000000" w:fill="FFC000"/>
      <w:spacing w:before="100" w:beforeAutospacing="1" w:after="100" w:afterAutospacing="1" w:line="240" w:lineRule="auto"/>
      <w:ind w:firstLine="0" w:firstLineChars="0"/>
      <w:jc w:val="center"/>
    </w:pPr>
    <w:rPr>
      <w:rFonts w:ascii="宋体" w:hAnsi="宋体" w:eastAsia="宋体" w:cs="宋体"/>
      <w:color w:val="000000"/>
      <w:kern w:val="0"/>
      <w:sz w:val="18"/>
      <w:szCs w:val="18"/>
    </w:rPr>
  </w:style>
  <w:style w:type="paragraph" w:customStyle="1" w:styleId="87">
    <w:name w:val="xl70"/>
    <w:basedOn w:val="1"/>
    <w:qFormat/>
    <w:uiPriority w:val="0"/>
    <w:pPr>
      <w:widowControl/>
      <w:pBdr>
        <w:bottom w:val="single" w:color="000000" w:sz="8" w:space="0"/>
        <w:right w:val="single" w:color="000000" w:sz="8" w:space="0"/>
      </w:pBdr>
      <w:shd w:val="clear" w:color="000000" w:fill="FFC000"/>
      <w:spacing w:before="100" w:beforeAutospacing="1" w:after="100" w:afterAutospacing="1" w:line="240" w:lineRule="auto"/>
      <w:ind w:firstLine="0" w:firstLineChars="0"/>
      <w:jc w:val="center"/>
    </w:pPr>
    <w:rPr>
      <w:rFonts w:ascii="宋体" w:hAnsi="宋体" w:eastAsia="宋体" w:cs="宋体"/>
      <w:color w:val="000000"/>
      <w:kern w:val="0"/>
      <w:sz w:val="18"/>
      <w:szCs w:val="18"/>
    </w:rPr>
  </w:style>
  <w:style w:type="paragraph" w:customStyle="1" w:styleId="8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color w:val="000000"/>
      <w:kern w:val="0"/>
      <w:sz w:val="18"/>
      <w:szCs w:val="18"/>
    </w:rPr>
  </w:style>
  <w:style w:type="paragraph" w:customStyle="1" w:styleId="8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kern w:val="0"/>
      <w:sz w:val="16"/>
      <w:szCs w:val="16"/>
    </w:rPr>
  </w:style>
  <w:style w:type="paragraph" w:customStyle="1" w:styleId="9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kern w:val="0"/>
      <w:sz w:val="16"/>
      <w:szCs w:val="16"/>
    </w:rPr>
  </w:style>
  <w:style w:type="paragraph" w:customStyle="1" w:styleId="91">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kern w:val="0"/>
      <w:sz w:val="18"/>
      <w:szCs w:val="18"/>
    </w:rPr>
  </w:style>
  <w:style w:type="paragraph" w:customStyle="1" w:styleId="9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kern w:val="0"/>
      <w:sz w:val="18"/>
      <w:szCs w:val="18"/>
    </w:rPr>
  </w:style>
  <w:style w:type="paragraph" w:customStyle="1" w:styleId="9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kern w:val="0"/>
      <w:sz w:val="18"/>
      <w:szCs w:val="18"/>
    </w:rPr>
  </w:style>
  <w:style w:type="character" w:customStyle="1" w:styleId="94">
    <w:name w:val="未处理的提及1"/>
    <w:unhideWhenUsed/>
    <w:qFormat/>
    <w:uiPriority w:val="99"/>
    <w:rPr>
      <w:color w:val="605E5C"/>
      <w:shd w:val="clear" w:color="auto" w:fill="E1DFDD"/>
    </w:rPr>
  </w:style>
  <w:style w:type="character" w:customStyle="1" w:styleId="95">
    <w:name w:val="font51"/>
    <w:qFormat/>
    <w:uiPriority w:val="0"/>
    <w:rPr>
      <w:rFonts w:hint="eastAsia" w:ascii="宋体" w:hAnsi="宋体" w:eastAsia="宋体" w:cs="宋体"/>
      <w:color w:val="000000"/>
      <w:sz w:val="18"/>
      <w:szCs w:val="18"/>
      <w:u w:val="none"/>
    </w:rPr>
  </w:style>
  <w:style w:type="paragraph" w:customStyle="1" w:styleId="96">
    <w:name w:val="修订1"/>
    <w:unhideWhenUsed/>
    <w:qFormat/>
    <w:uiPriority w:val="99"/>
    <w:rPr>
      <w:rFonts w:ascii="等线" w:hAnsi="等线" w:eastAsia="方正仿宋_GB2312" w:cs="Times New Roman"/>
      <w:kern w:val="2"/>
      <w:sz w:val="32"/>
      <w:szCs w:val="22"/>
      <w:lang w:val="en-US" w:eastAsia="zh-CN" w:bidi="ar-SA"/>
    </w:rPr>
  </w:style>
  <w:style w:type="character" w:customStyle="1" w:styleId="97">
    <w:name w:val="未处理的提及2"/>
    <w:unhideWhenUsed/>
    <w:qFormat/>
    <w:uiPriority w:val="99"/>
    <w:rPr>
      <w:color w:val="605E5C"/>
      <w:shd w:val="clear" w:color="auto" w:fill="E1DFDD"/>
    </w:rPr>
  </w:style>
  <w:style w:type="paragraph" w:customStyle="1" w:styleId="98">
    <w:name w:val="TOC 标题1"/>
    <w:basedOn w:val="2"/>
    <w:next w:val="1"/>
    <w:unhideWhenUsed/>
    <w:qFormat/>
    <w:uiPriority w:val="39"/>
    <w:pPr>
      <w:widowControl/>
      <w:spacing w:before="240" w:after="0" w:line="259" w:lineRule="auto"/>
      <w:jc w:val="left"/>
      <w:outlineLvl w:val="9"/>
    </w:pPr>
    <w:rPr>
      <w:rFonts w:ascii="等线 Light" w:hAnsi="等线 Light" w:eastAsia="等线 Light"/>
      <w:bCs w:val="0"/>
      <w:color w:val="2F5496"/>
      <w:kern w:val="0"/>
      <w:sz w:val="32"/>
      <w:szCs w:val="32"/>
    </w:rPr>
  </w:style>
  <w:style w:type="character" w:customStyle="1" w:styleId="99">
    <w:name w:val="font41"/>
    <w:qFormat/>
    <w:uiPriority w:val="0"/>
    <w:rPr>
      <w:rFonts w:hint="eastAsia" w:ascii="宋体" w:hAnsi="宋体" w:eastAsia="宋体" w:cs="宋体"/>
      <w:color w:val="000000"/>
      <w:sz w:val="18"/>
      <w:szCs w:val="18"/>
      <w:u w:val="none"/>
    </w:rPr>
  </w:style>
  <w:style w:type="paragraph" w:customStyle="1" w:styleId="100">
    <w:name w:val="修订2"/>
    <w:unhideWhenUsed/>
    <w:qFormat/>
    <w:uiPriority w:val="99"/>
    <w:rPr>
      <w:rFonts w:ascii="等线" w:hAnsi="等线" w:eastAsia="方正仿宋_GB2312" w:cs="Times New Roman"/>
      <w:kern w:val="2"/>
      <w:sz w:val="32"/>
      <w:szCs w:val="22"/>
      <w:lang w:val="en-US" w:eastAsia="zh-CN" w:bidi="ar-SA"/>
    </w:rPr>
  </w:style>
  <w:style w:type="character" w:customStyle="1" w:styleId="101">
    <w:name w:val="font91"/>
    <w:qFormat/>
    <w:uiPriority w:val="0"/>
    <w:rPr>
      <w:rFonts w:hint="eastAsia" w:ascii="宋体" w:hAnsi="宋体" w:eastAsia="宋体" w:cs="宋体"/>
      <w:color w:val="000000"/>
      <w:sz w:val="20"/>
      <w:szCs w:val="20"/>
      <w:u w:val="none"/>
    </w:rPr>
  </w:style>
  <w:style w:type="character" w:customStyle="1" w:styleId="102">
    <w:name w:val="font81"/>
    <w:qFormat/>
    <w:uiPriority w:val="0"/>
    <w:rPr>
      <w:rFonts w:hint="eastAsia" w:ascii="宋体" w:hAnsi="宋体" w:eastAsia="宋体" w:cs="宋体"/>
      <w:color w:val="000000"/>
      <w:sz w:val="20"/>
      <w:szCs w:val="20"/>
      <w:u w:val="none"/>
    </w:rPr>
  </w:style>
  <w:style w:type="character" w:customStyle="1" w:styleId="103">
    <w:name w:val="font61"/>
    <w:qFormat/>
    <w:uiPriority w:val="0"/>
    <w:rPr>
      <w:rFonts w:hint="eastAsia" w:ascii="宋体" w:hAnsi="宋体" w:eastAsia="宋体" w:cs="宋体"/>
      <w:color w:val="000000"/>
      <w:sz w:val="18"/>
      <w:szCs w:val="18"/>
      <w:u w:val="none"/>
    </w:rPr>
  </w:style>
  <w:style w:type="paragraph" w:customStyle="1" w:styleId="104">
    <w:name w:val="报告正文"/>
    <w:basedOn w:val="1"/>
    <w:qFormat/>
    <w:uiPriority w:val="0"/>
    <w:pPr>
      <w:spacing w:line="240" w:lineRule="auto"/>
    </w:pPr>
    <w:rPr>
      <w:rFonts w:ascii="仿宋_GB2312" w:hAnsi="宋体"/>
      <w:szCs w:val="28"/>
    </w:rPr>
  </w:style>
  <w:style w:type="paragraph" w:customStyle="1" w:styleId="105">
    <w:name w:val="A封面（名称）"/>
    <w:qFormat/>
    <w:uiPriority w:val="0"/>
    <w:pPr>
      <w:widowControl w:val="0"/>
      <w:jc w:val="center"/>
    </w:pPr>
    <w:rPr>
      <w:rFonts w:ascii="方正小标宋_GBK" w:hAnsi="方正小标宋_GBK" w:eastAsia="方正小标宋_GBK" w:cs="方正小标宋_GBK"/>
      <w:kern w:val="2"/>
      <w:sz w:val="52"/>
      <w:szCs w:val="52"/>
      <w:lang w:val="en-US" w:eastAsia="zh-CN" w:bidi="ar-SA"/>
    </w:rPr>
  </w:style>
  <w:style w:type="paragraph" w:customStyle="1" w:styleId="106">
    <w:name w:val="A封面落款"/>
    <w:qFormat/>
    <w:uiPriority w:val="0"/>
    <w:pPr>
      <w:widowControl w:val="0"/>
      <w:jc w:val="center"/>
    </w:pPr>
    <w:rPr>
      <w:rFonts w:ascii="楷体_GB2312" w:hAnsi="楷体_GB2312" w:eastAsia="楷体_GB2312" w:cs="楷体_GB2312"/>
      <w:kern w:val="2"/>
      <w:sz w:val="32"/>
      <w:szCs w:val="32"/>
      <w:lang w:val="en-US" w:eastAsia="zh-CN" w:bidi="ar-SA"/>
    </w:rPr>
  </w:style>
  <w:style w:type="paragraph" w:customStyle="1" w:styleId="107">
    <w:name w:val="A封面（文本）"/>
    <w:basedOn w:val="1"/>
    <w:qFormat/>
    <w:uiPriority w:val="0"/>
    <w:pPr>
      <w:jc w:val="center"/>
    </w:pPr>
    <w:rPr>
      <w:rFonts w:ascii="方正小标宋_GBK" w:hAnsi="方正小标宋_GBK" w:eastAsia="方正小标宋_GBK" w:cs="方正小标宋_GBK"/>
      <w:sz w:val="44"/>
      <w:szCs w:val="44"/>
    </w:rPr>
  </w:style>
  <w:style w:type="paragraph" w:customStyle="1" w:styleId="108">
    <w:name w:val="专栏正文"/>
    <w:qFormat/>
    <w:uiPriority w:val="0"/>
    <w:pPr>
      <w:snapToGrid w:val="0"/>
      <w:spacing w:line="500" w:lineRule="exact"/>
      <w:ind w:firstLine="480" w:firstLineChars="200"/>
      <w:jc w:val="both"/>
    </w:pPr>
    <w:rPr>
      <w:rFonts w:ascii="仿宋_GB2312" w:hAnsi="仿宋_GB2312" w:eastAsia="仿宋_GB2312" w:cs="仿宋_GB2312"/>
      <w:kern w:val="2"/>
      <w:sz w:val="24"/>
      <w:szCs w:val="24"/>
      <w:lang w:val="en-US" w:eastAsia="zh-CN" w:bidi="ar-SA"/>
    </w:rPr>
  </w:style>
  <w:style w:type="paragraph" w:customStyle="1" w:styleId="109">
    <w:name w:val="专栏标题"/>
    <w:qFormat/>
    <w:uiPriority w:val="0"/>
    <w:pPr>
      <w:jc w:val="center"/>
    </w:pPr>
    <w:rPr>
      <w:rFonts w:ascii="黑体" w:hAnsi="黑体" w:eastAsia="黑体" w:cs="黑体"/>
      <w:iCs/>
      <w:kern w:val="2"/>
      <w:sz w:val="30"/>
      <w:szCs w:val="30"/>
      <w:lang w:val="en-US" w:eastAsia="zh-CN" w:bidi="ar-SA"/>
    </w:rPr>
  </w:style>
  <w:style w:type="paragraph" w:customStyle="1" w:styleId="110">
    <w:name w:val="5-专栏"/>
    <w:basedOn w:val="1"/>
    <w:qFormat/>
    <w:uiPriority w:val="0"/>
    <w:pPr>
      <w:numPr>
        <w:ilvl w:val="0"/>
        <w:numId w:val="3"/>
      </w:numPr>
      <w:ind w:left="0" w:firstLine="0" w:firstLineChars="0"/>
      <w:jc w:val="center"/>
    </w:pPr>
    <w:rPr>
      <w:rFonts w:ascii="黑体" w:hAnsi="黑体" w:eastAsia="黑体"/>
      <w:szCs w:val="32"/>
    </w:rPr>
  </w:style>
  <w:style w:type="paragraph" w:customStyle="1" w:styleId="111">
    <w:name w:val="6-专栏内部文字格式"/>
    <w:basedOn w:val="1"/>
    <w:qFormat/>
    <w:uiPriority w:val="0"/>
    <w:pPr>
      <w:spacing w:line="400" w:lineRule="exact"/>
      <w:ind w:firstLine="480"/>
    </w:pPr>
    <w:rPr>
      <w:rFonts w:ascii="仿宋" w:hAnsi="仿宋" w:cs="微软雅黑"/>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jpeg"/><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148</Pages>
  <Words>1263</Words>
  <Characters>1365</Characters>
  <Lines>840</Lines>
  <Paragraphs>236</Paragraphs>
  <TotalTime>99</TotalTime>
  <ScaleCrop>false</ScaleCrop>
  <LinksUpToDate>false</LinksUpToDate>
  <CharactersWithSpaces>1487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2025-05-06T01:01:00Z</dcterms:created>
  <dc:creator>1194040593@qq.com</dc:creator>
  <cp:lastModifiedBy>Administrator</cp:lastModifiedBy>
  <cp:lastPrinted>2025-08-26T01:12:00Z</cp:lastPrinted>
  <dcterms:modified xsi:type="dcterms:W3CDTF">2025-11-14T02:19:54Z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C8BB3E56DE6540B6B80E4FFECFDF638D_13</vt:lpwstr>
  </property>
  <property fmtid="{D5CDD505-2E9C-101B-9397-08002B2CF9AE}" pid="4" name="KSOTemplateDocerSaveRecord">
    <vt:lpwstr>eyJoZGlkIjoiMmFkYmMyYjY4ZmM4OTBhZWUzZDUyM2RkNmM2Yjg4NzQifQ==</vt:lpwstr>
  </property>
</Properties>
</file>